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2562" w14:textId="6F8665EA" w:rsidR="001A3B32" w:rsidRDefault="001A3B32">
      <w:pPr>
        <w:rPr>
          <w:b/>
          <w:bCs/>
        </w:rPr>
      </w:pPr>
      <w:r>
        <w:rPr>
          <w:b/>
          <w:bCs/>
        </w:rPr>
        <w:t>Safeguarding people who self-neglect: what works?</w:t>
      </w:r>
    </w:p>
    <w:p w14:paraId="1200A9DD" w14:textId="2A2D98FC" w:rsidR="001A3B32" w:rsidRDefault="006227CB">
      <w:pPr>
        <w:rPr>
          <w:b/>
          <w:bCs/>
        </w:rPr>
      </w:pPr>
      <w:r>
        <w:rPr>
          <w:b/>
          <w:bCs/>
        </w:rPr>
        <w:t xml:space="preserve">Suzy </w:t>
      </w:r>
      <w:proofErr w:type="spellStart"/>
      <w:r>
        <w:rPr>
          <w:b/>
          <w:bCs/>
        </w:rPr>
        <w:t>Braye</w:t>
      </w:r>
      <w:proofErr w:type="spellEnd"/>
    </w:p>
    <w:p w14:paraId="3D6B6C4E" w14:textId="77777777" w:rsidR="001A3B32" w:rsidRDefault="001A3B32">
      <w:pPr>
        <w:rPr>
          <w:b/>
          <w:bCs/>
        </w:rPr>
      </w:pPr>
    </w:p>
    <w:p w14:paraId="205BF941" w14:textId="33ACFD0B" w:rsidR="00845DEB" w:rsidRPr="001A3B32" w:rsidRDefault="001A3B32">
      <w:pPr>
        <w:rPr>
          <w:b/>
          <w:bCs/>
        </w:rPr>
      </w:pPr>
      <w:r w:rsidRPr="001A3B32">
        <w:rPr>
          <w:b/>
          <w:bCs/>
        </w:rPr>
        <w:t>Abstract</w:t>
      </w:r>
      <w:r w:rsidR="000B76AB">
        <w:rPr>
          <w:b/>
          <w:bCs/>
        </w:rPr>
        <w:t xml:space="preserve"> for Healthcare-UK conference </w:t>
      </w:r>
      <w:r w:rsidR="006227CB">
        <w:rPr>
          <w:b/>
          <w:bCs/>
        </w:rPr>
        <w:t>27</w:t>
      </w:r>
      <w:r w:rsidR="006227CB" w:rsidRPr="006227CB">
        <w:rPr>
          <w:b/>
          <w:bCs/>
          <w:vertAlign w:val="superscript"/>
        </w:rPr>
        <w:t>th</w:t>
      </w:r>
      <w:r w:rsidR="006227CB">
        <w:rPr>
          <w:b/>
          <w:bCs/>
        </w:rPr>
        <w:t xml:space="preserve"> January 2022</w:t>
      </w:r>
    </w:p>
    <w:p w14:paraId="5A56BEFB" w14:textId="4CE99A2B" w:rsidR="001A3B32" w:rsidRDefault="001A3B32"/>
    <w:p w14:paraId="200B06E4" w14:textId="3933DAF6" w:rsidR="006227CB" w:rsidRDefault="001A3B32" w:rsidP="006227CB">
      <w:pPr>
        <w:jc w:val="both"/>
      </w:pPr>
      <w:r w:rsidRPr="001A3B32">
        <w:t xml:space="preserve">Statutory guidance to the Care Act 2014 places </w:t>
      </w:r>
      <w:r w:rsidR="00FD3587">
        <w:t xml:space="preserve">self-neglect </w:t>
      </w:r>
      <w:r w:rsidRPr="001A3B32">
        <w:t>clearly with the range of circumstances that constitute abuse and neglect, thus placing an onus on Safeguarding Adults Boards to promote and facilitate interagency collaboration. A strong culture of working together and clarity about roles and relationships are crucial to ensuring a robust response to the challenges faced by practitioners</w:t>
      </w:r>
      <w:r>
        <w:t xml:space="preserve"> across agencies</w:t>
      </w:r>
      <w:r w:rsidRPr="001A3B32">
        <w:t>. Equally important is the ability of those practitioners to engage people who may be reluctant and fearful, to build relationships of trust that can assist in negotiating the ethical dilemmas faced in direct practice, to adapt skills of assessment to incorporate understanding of individuals’ lived experience, and to apply sound legal literacy in devising interventions.  Such approaches</w:t>
      </w:r>
      <w:r>
        <w:t xml:space="preserve"> also </w:t>
      </w:r>
      <w:r w:rsidRPr="001A3B32">
        <w:t xml:space="preserve">require </w:t>
      </w:r>
      <w:r>
        <w:t>flexibility and adjustments within</w:t>
      </w:r>
      <w:r w:rsidRPr="001A3B32">
        <w:t xml:space="preserve"> organisational systems so that they facilitate </w:t>
      </w:r>
      <w:r>
        <w:t>best practice</w:t>
      </w:r>
      <w:r w:rsidRPr="001A3B32">
        <w:t>.</w:t>
      </w:r>
      <w:r>
        <w:t xml:space="preserve"> </w:t>
      </w:r>
      <w:r w:rsidR="006227CB" w:rsidRPr="001A3B32">
        <w:t xml:space="preserve">This </w:t>
      </w:r>
      <w:r w:rsidR="006227CB">
        <w:t xml:space="preserve">presentation </w:t>
      </w:r>
      <w:r w:rsidR="006227CB" w:rsidRPr="001A3B32">
        <w:t xml:space="preserve">draws on research evidence and </w:t>
      </w:r>
      <w:r w:rsidR="006227CB">
        <w:t xml:space="preserve">learning </w:t>
      </w:r>
      <w:r w:rsidR="006227CB" w:rsidRPr="001A3B32">
        <w:t xml:space="preserve">from safeguarding adult reviews to identify </w:t>
      </w:r>
      <w:r w:rsidR="006227CB">
        <w:t xml:space="preserve">the challenges of working with self-neglect and the </w:t>
      </w:r>
      <w:r w:rsidR="006227CB" w:rsidRPr="001A3B32">
        <w:t xml:space="preserve">approaches that </w:t>
      </w:r>
      <w:r w:rsidR="006227CB">
        <w:t xml:space="preserve">can </w:t>
      </w:r>
      <w:r w:rsidR="006227CB" w:rsidRPr="001A3B32">
        <w:t>achieve positive outcomes</w:t>
      </w:r>
      <w:r w:rsidR="006227CB">
        <w:t xml:space="preserve">. </w:t>
      </w:r>
    </w:p>
    <w:p w14:paraId="6214209C" w14:textId="77777777" w:rsidR="006227CB" w:rsidRDefault="006227CB" w:rsidP="006227CB">
      <w:pPr>
        <w:jc w:val="both"/>
      </w:pPr>
    </w:p>
    <w:p w14:paraId="48DD033B" w14:textId="4905140A" w:rsidR="00AA5EF4" w:rsidRDefault="00AA5EF4" w:rsidP="00904419">
      <w:pPr>
        <w:jc w:val="both"/>
      </w:pPr>
    </w:p>
    <w:p w14:paraId="62DE8FF2" w14:textId="1597D049" w:rsidR="00AA5EF4" w:rsidRPr="00AA5EF4" w:rsidRDefault="00AA5EF4" w:rsidP="00AA5EF4">
      <w:pPr>
        <w:rPr>
          <w:b/>
          <w:bCs/>
        </w:rPr>
      </w:pPr>
      <w:r w:rsidRPr="00AA5EF4">
        <w:rPr>
          <w:b/>
          <w:bCs/>
        </w:rPr>
        <w:t>Research reports</w:t>
      </w:r>
    </w:p>
    <w:p w14:paraId="7C1E38F0" w14:textId="77777777" w:rsidR="00AA5EF4" w:rsidRDefault="00AA5EF4" w:rsidP="00AA5EF4"/>
    <w:p w14:paraId="7041B83C" w14:textId="77777777" w:rsidR="00AA5EF4" w:rsidRPr="00AA5EF4" w:rsidRDefault="00AA5EF4" w:rsidP="00AA5EF4">
      <w:pPr>
        <w:numPr>
          <w:ilvl w:val="0"/>
          <w:numId w:val="2"/>
        </w:numPr>
      </w:pPr>
      <w:r w:rsidRPr="00AA5EF4">
        <w:rPr>
          <w:b/>
          <w:bCs/>
        </w:rPr>
        <w:t xml:space="preserve">Braye, S., Orr, D. and Preston-Shoot, M. (2011) </w:t>
      </w:r>
      <w:r w:rsidRPr="00AA5EF4">
        <w:rPr>
          <w:i/>
          <w:iCs/>
        </w:rPr>
        <w:t>Self-Neglect and Adult Safeguarding: Findings from Research.</w:t>
      </w:r>
      <w:r w:rsidRPr="00AA5EF4">
        <w:t xml:space="preserve"> London: SCIE. </w:t>
      </w:r>
      <w:hyperlink r:id="rId5" w:history="1">
        <w:r w:rsidRPr="00AA5EF4">
          <w:rPr>
            <w:rStyle w:val="Hyperlink"/>
          </w:rPr>
          <w:t>http://www.scie.org.uk/publications/reports/report46.pdf</w:t>
        </w:r>
      </w:hyperlink>
      <w:r w:rsidRPr="00AA5EF4">
        <w:t xml:space="preserve">   </w:t>
      </w:r>
    </w:p>
    <w:p w14:paraId="2445BA21" w14:textId="77777777" w:rsidR="00AA5EF4" w:rsidRPr="00AA5EF4" w:rsidRDefault="00AA5EF4" w:rsidP="00AA5EF4">
      <w:pPr>
        <w:numPr>
          <w:ilvl w:val="0"/>
          <w:numId w:val="2"/>
        </w:numPr>
      </w:pPr>
      <w:r w:rsidRPr="00AA5EF4">
        <w:rPr>
          <w:b/>
          <w:bCs/>
        </w:rPr>
        <w:t>Braye, S., Orr, D. and Preston-Shoot, M. (2013</w:t>
      </w:r>
      <w:r w:rsidRPr="00AA5EF4">
        <w:rPr>
          <w:b/>
          <w:bCs/>
          <w:i/>
          <w:iCs/>
        </w:rPr>
        <w:t>)</w:t>
      </w:r>
      <w:r w:rsidRPr="00AA5EF4">
        <w:rPr>
          <w:i/>
          <w:iCs/>
        </w:rPr>
        <w:t xml:space="preserve"> A Scoping Study of Workforce Development for Self-Neglect</w:t>
      </w:r>
      <w:r w:rsidRPr="00AA5EF4">
        <w:t xml:space="preserve">. London: Skills for Care. </w:t>
      </w:r>
      <w:hyperlink r:id="rId6" w:history="1">
        <w:r w:rsidRPr="00AA5EF4">
          <w:rPr>
            <w:rStyle w:val="Hyperlink"/>
          </w:rPr>
          <w:t>http://www.skillsforcare.org.uk/NMDS-SC-intelligence-research-and-innovation/evidence-impact/Research-reports/Workforce-development-for-self-neglect.aspx</w:t>
        </w:r>
      </w:hyperlink>
      <w:r w:rsidRPr="00AA5EF4">
        <w:t xml:space="preserve"> </w:t>
      </w:r>
    </w:p>
    <w:p w14:paraId="22023FDC" w14:textId="77777777" w:rsidR="00AA5EF4" w:rsidRPr="00AA5EF4" w:rsidRDefault="00AA5EF4" w:rsidP="00AA5EF4">
      <w:pPr>
        <w:numPr>
          <w:ilvl w:val="0"/>
          <w:numId w:val="2"/>
        </w:numPr>
      </w:pPr>
      <w:r w:rsidRPr="00AA5EF4">
        <w:rPr>
          <w:b/>
          <w:bCs/>
        </w:rPr>
        <w:t xml:space="preserve">Braye. S., Orr, D. and Preston-Shoot, M. (2014) </w:t>
      </w:r>
      <w:r w:rsidRPr="00AA5EF4">
        <w:rPr>
          <w:i/>
          <w:iCs/>
        </w:rPr>
        <w:t xml:space="preserve">Self-Neglect Policy &amp; Practice: Building an Evidence Base for Adult Social Care. </w:t>
      </w:r>
      <w:r w:rsidRPr="00AA5EF4">
        <w:t xml:space="preserve">London: SCIE. (Summary reports also available) </w:t>
      </w:r>
      <w:hyperlink r:id="rId7" w:history="1">
        <w:r w:rsidRPr="00AA5EF4">
          <w:rPr>
            <w:rStyle w:val="Hyperlink"/>
          </w:rPr>
          <w:t>http://www.scie.org.uk/publications/reports/69-self-neglect-policy-practice-building-an-evidence-base-for-adult-social-care/</w:t>
        </w:r>
      </w:hyperlink>
      <w:r w:rsidRPr="00AA5EF4">
        <w:t xml:space="preserve"> </w:t>
      </w:r>
    </w:p>
    <w:p w14:paraId="4B58936B" w14:textId="77777777" w:rsidR="00AA5EF4" w:rsidRPr="00AA5EF4" w:rsidRDefault="00AA5EF4" w:rsidP="00AA5EF4">
      <w:pPr>
        <w:numPr>
          <w:ilvl w:val="0"/>
          <w:numId w:val="2"/>
        </w:numPr>
      </w:pPr>
      <w:r w:rsidRPr="00AA5EF4">
        <w:rPr>
          <w:b/>
          <w:bCs/>
        </w:rPr>
        <w:t xml:space="preserve">Preston-Shoot, M., Braye, S., Preston, O., Allen, K. and </w:t>
      </w:r>
      <w:proofErr w:type="spellStart"/>
      <w:r w:rsidRPr="00AA5EF4">
        <w:rPr>
          <w:b/>
          <w:bCs/>
        </w:rPr>
        <w:t>Spreadbury</w:t>
      </w:r>
      <w:proofErr w:type="spellEnd"/>
      <w:r w:rsidRPr="00AA5EF4">
        <w:rPr>
          <w:b/>
          <w:bCs/>
        </w:rPr>
        <w:t>, K. (2020)</w:t>
      </w:r>
      <w:r w:rsidRPr="00AA5EF4">
        <w:t> </w:t>
      </w:r>
      <w:r w:rsidRPr="00AA5EF4">
        <w:rPr>
          <w:i/>
          <w:iCs/>
        </w:rPr>
        <w:t>Analysis of Safeguarding Adult Reviews April 2017 – March 2019: Findings for Sector-Led Improvement</w:t>
      </w:r>
      <w:r w:rsidRPr="00AA5EF4">
        <w:t xml:space="preserve">. London: LGA and ADASS. (Full report and executive summary available) </w:t>
      </w:r>
      <w:hyperlink r:id="rId8" w:history="1">
        <w:r w:rsidRPr="00AA5EF4">
          <w:rPr>
            <w:rStyle w:val="Hyperlink"/>
          </w:rPr>
          <w:t>https://www.local.gov.uk/analysis-safeguarding-adult-reviews-april-2017-march-2019</w:t>
        </w:r>
      </w:hyperlink>
      <w:r w:rsidRPr="00AA5EF4">
        <w:t xml:space="preserve">  </w:t>
      </w:r>
    </w:p>
    <w:p w14:paraId="38CC4E8B" w14:textId="77777777" w:rsidR="001A3B32" w:rsidRDefault="001A3B32"/>
    <w:sectPr w:rsidR="001A3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7377A"/>
    <w:multiLevelType w:val="hybridMultilevel"/>
    <w:tmpl w:val="12886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1D12D8"/>
    <w:multiLevelType w:val="hybridMultilevel"/>
    <w:tmpl w:val="21E81722"/>
    <w:lvl w:ilvl="0" w:tplc="DF345720">
      <w:start w:val="1"/>
      <w:numFmt w:val="bullet"/>
      <w:lvlText w:val="•"/>
      <w:lvlJc w:val="left"/>
      <w:pPr>
        <w:tabs>
          <w:tab w:val="num" w:pos="720"/>
        </w:tabs>
        <w:ind w:left="720" w:hanging="360"/>
      </w:pPr>
      <w:rPr>
        <w:rFonts w:ascii="Arial" w:hAnsi="Arial" w:hint="default"/>
      </w:rPr>
    </w:lvl>
    <w:lvl w:ilvl="1" w:tplc="F48E7D6E" w:tentative="1">
      <w:start w:val="1"/>
      <w:numFmt w:val="bullet"/>
      <w:lvlText w:val="•"/>
      <w:lvlJc w:val="left"/>
      <w:pPr>
        <w:tabs>
          <w:tab w:val="num" w:pos="1440"/>
        </w:tabs>
        <w:ind w:left="1440" w:hanging="360"/>
      </w:pPr>
      <w:rPr>
        <w:rFonts w:ascii="Arial" w:hAnsi="Arial" w:hint="default"/>
      </w:rPr>
    </w:lvl>
    <w:lvl w:ilvl="2" w:tplc="60D8D8BA" w:tentative="1">
      <w:start w:val="1"/>
      <w:numFmt w:val="bullet"/>
      <w:lvlText w:val="•"/>
      <w:lvlJc w:val="left"/>
      <w:pPr>
        <w:tabs>
          <w:tab w:val="num" w:pos="2160"/>
        </w:tabs>
        <w:ind w:left="2160" w:hanging="360"/>
      </w:pPr>
      <w:rPr>
        <w:rFonts w:ascii="Arial" w:hAnsi="Arial" w:hint="default"/>
      </w:rPr>
    </w:lvl>
    <w:lvl w:ilvl="3" w:tplc="EF10D1A4" w:tentative="1">
      <w:start w:val="1"/>
      <w:numFmt w:val="bullet"/>
      <w:lvlText w:val="•"/>
      <w:lvlJc w:val="left"/>
      <w:pPr>
        <w:tabs>
          <w:tab w:val="num" w:pos="2880"/>
        </w:tabs>
        <w:ind w:left="2880" w:hanging="360"/>
      </w:pPr>
      <w:rPr>
        <w:rFonts w:ascii="Arial" w:hAnsi="Arial" w:hint="default"/>
      </w:rPr>
    </w:lvl>
    <w:lvl w:ilvl="4" w:tplc="20E67972" w:tentative="1">
      <w:start w:val="1"/>
      <w:numFmt w:val="bullet"/>
      <w:lvlText w:val="•"/>
      <w:lvlJc w:val="left"/>
      <w:pPr>
        <w:tabs>
          <w:tab w:val="num" w:pos="3600"/>
        </w:tabs>
        <w:ind w:left="3600" w:hanging="360"/>
      </w:pPr>
      <w:rPr>
        <w:rFonts w:ascii="Arial" w:hAnsi="Arial" w:hint="default"/>
      </w:rPr>
    </w:lvl>
    <w:lvl w:ilvl="5" w:tplc="A00EC63E" w:tentative="1">
      <w:start w:val="1"/>
      <w:numFmt w:val="bullet"/>
      <w:lvlText w:val="•"/>
      <w:lvlJc w:val="left"/>
      <w:pPr>
        <w:tabs>
          <w:tab w:val="num" w:pos="4320"/>
        </w:tabs>
        <w:ind w:left="4320" w:hanging="360"/>
      </w:pPr>
      <w:rPr>
        <w:rFonts w:ascii="Arial" w:hAnsi="Arial" w:hint="default"/>
      </w:rPr>
    </w:lvl>
    <w:lvl w:ilvl="6" w:tplc="DE74879C" w:tentative="1">
      <w:start w:val="1"/>
      <w:numFmt w:val="bullet"/>
      <w:lvlText w:val="•"/>
      <w:lvlJc w:val="left"/>
      <w:pPr>
        <w:tabs>
          <w:tab w:val="num" w:pos="5040"/>
        </w:tabs>
        <w:ind w:left="5040" w:hanging="360"/>
      </w:pPr>
      <w:rPr>
        <w:rFonts w:ascii="Arial" w:hAnsi="Arial" w:hint="default"/>
      </w:rPr>
    </w:lvl>
    <w:lvl w:ilvl="7" w:tplc="E05266D0" w:tentative="1">
      <w:start w:val="1"/>
      <w:numFmt w:val="bullet"/>
      <w:lvlText w:val="•"/>
      <w:lvlJc w:val="left"/>
      <w:pPr>
        <w:tabs>
          <w:tab w:val="num" w:pos="5760"/>
        </w:tabs>
        <w:ind w:left="5760" w:hanging="360"/>
      </w:pPr>
      <w:rPr>
        <w:rFonts w:ascii="Arial" w:hAnsi="Arial" w:hint="default"/>
      </w:rPr>
    </w:lvl>
    <w:lvl w:ilvl="8" w:tplc="A9E684E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B32"/>
    <w:rsid w:val="000B76AB"/>
    <w:rsid w:val="001A3B32"/>
    <w:rsid w:val="006227CB"/>
    <w:rsid w:val="00845DEB"/>
    <w:rsid w:val="00904419"/>
    <w:rsid w:val="00AA5EF4"/>
    <w:rsid w:val="00B4006F"/>
    <w:rsid w:val="00FD3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F771"/>
  <w15:chartTrackingRefBased/>
  <w15:docId w15:val="{7E89B367-3408-2C41-A010-E48563AF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EF4"/>
    <w:rPr>
      <w:color w:val="0563C1" w:themeColor="hyperlink"/>
      <w:u w:val="single"/>
    </w:rPr>
  </w:style>
  <w:style w:type="character" w:customStyle="1" w:styleId="UnresolvedMention1">
    <w:name w:val="Unresolved Mention1"/>
    <w:basedOn w:val="DefaultParagraphFont"/>
    <w:uiPriority w:val="99"/>
    <w:semiHidden/>
    <w:unhideWhenUsed/>
    <w:rsid w:val="00AA5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038177">
      <w:bodyDiv w:val="1"/>
      <w:marLeft w:val="0"/>
      <w:marRight w:val="0"/>
      <w:marTop w:val="0"/>
      <w:marBottom w:val="0"/>
      <w:divBdr>
        <w:top w:val="none" w:sz="0" w:space="0" w:color="auto"/>
        <w:left w:val="none" w:sz="0" w:space="0" w:color="auto"/>
        <w:bottom w:val="none" w:sz="0" w:space="0" w:color="auto"/>
        <w:right w:val="none" w:sz="0" w:space="0" w:color="auto"/>
      </w:divBdr>
      <w:divsChild>
        <w:div w:id="1460683317">
          <w:marLeft w:val="288"/>
          <w:marRight w:val="0"/>
          <w:marTop w:val="0"/>
          <w:marBottom w:val="0"/>
          <w:divBdr>
            <w:top w:val="none" w:sz="0" w:space="0" w:color="auto"/>
            <w:left w:val="none" w:sz="0" w:space="0" w:color="auto"/>
            <w:bottom w:val="none" w:sz="0" w:space="0" w:color="auto"/>
            <w:right w:val="none" w:sz="0" w:space="0" w:color="auto"/>
          </w:divBdr>
        </w:div>
        <w:div w:id="273438753">
          <w:marLeft w:val="288"/>
          <w:marRight w:val="0"/>
          <w:marTop w:val="0"/>
          <w:marBottom w:val="0"/>
          <w:divBdr>
            <w:top w:val="none" w:sz="0" w:space="0" w:color="auto"/>
            <w:left w:val="none" w:sz="0" w:space="0" w:color="auto"/>
            <w:bottom w:val="none" w:sz="0" w:space="0" w:color="auto"/>
            <w:right w:val="none" w:sz="0" w:space="0" w:color="auto"/>
          </w:divBdr>
        </w:div>
        <w:div w:id="1732657386">
          <w:marLeft w:val="288"/>
          <w:marRight w:val="0"/>
          <w:marTop w:val="0"/>
          <w:marBottom w:val="0"/>
          <w:divBdr>
            <w:top w:val="none" w:sz="0" w:space="0" w:color="auto"/>
            <w:left w:val="none" w:sz="0" w:space="0" w:color="auto"/>
            <w:bottom w:val="none" w:sz="0" w:space="0" w:color="auto"/>
            <w:right w:val="none" w:sz="0" w:space="0" w:color="auto"/>
          </w:divBdr>
        </w:div>
        <w:div w:id="786972513">
          <w:marLeft w:val="288"/>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analysis-safeguarding-adult-reviews-april-2017-march-2019" TargetMode="External"/><Relationship Id="rId3" Type="http://schemas.openxmlformats.org/officeDocument/2006/relationships/settings" Target="settings.xml"/><Relationship Id="rId7" Type="http://schemas.openxmlformats.org/officeDocument/2006/relationships/hyperlink" Target="http://www.scie.org.uk/publications/reports/69-self-neglect-policy-practice-building-an-evidence-base-for-adult-social-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illsforcare.org.uk/NMDS-SC-intelligence-research-and-innovation/evidence-impact/Research-reports/Workforce-development-for-self-neglect.aspx" TargetMode="External"/><Relationship Id="rId5" Type="http://schemas.openxmlformats.org/officeDocument/2006/relationships/hyperlink" Target="http://www.scie.org.uk/publications/reports/report46.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Braye</dc:creator>
  <cp:keywords/>
  <dc:description/>
  <cp:lastModifiedBy>Suzy Braye</cp:lastModifiedBy>
  <cp:revision>6</cp:revision>
  <dcterms:created xsi:type="dcterms:W3CDTF">2020-12-26T16:11:00Z</dcterms:created>
  <dcterms:modified xsi:type="dcterms:W3CDTF">2021-12-30T16:02:00Z</dcterms:modified>
</cp:coreProperties>
</file>