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19D" w:rsidRDefault="00FB219D" w:rsidP="00FB219D">
      <w:pPr>
        <w:pStyle w:val="Title"/>
      </w:pPr>
      <w:r w:rsidRPr="00FB219D">
        <w:t xml:space="preserve">Alex Ruck Keene </w:t>
      </w:r>
    </w:p>
    <w:p w:rsidR="00054570" w:rsidRPr="00FB219D" w:rsidRDefault="00054570" w:rsidP="00FB219D">
      <w:pPr>
        <w:jc w:val="both"/>
      </w:pPr>
      <w:r w:rsidRPr="00FB219D">
        <w:rPr>
          <w:b/>
          <w:bCs/>
        </w:rPr>
        <w:t xml:space="preserve">Alex Ruck Keene </w:t>
      </w:r>
      <w:r w:rsidRPr="00FB219D">
        <w:t>is an experienced barrister, writer and educator. His practice is focused on mental capacity and mental health law, in which he is able to provide specialist advice and representation, as well as delivering expert training for front line professionals. He also writes extensively in the field, editing and contributing to leading textbooks and (amongst many other publications) the 39 Essex Chambers Mental Capacity Law Report, the ‘bible’ for solicitors (and others) working in the area. He is the creator of the website www.mentalcapacitylawandpolicy.org.uk, providing resources and expert commentary on some of the most difficult mental capacity issues.</w:t>
      </w:r>
    </w:p>
    <w:p w:rsidR="005D187C" w:rsidRPr="00FB219D" w:rsidRDefault="00054570" w:rsidP="00FB219D">
      <w:pPr>
        <w:jc w:val="both"/>
      </w:pPr>
      <w:bookmarkStart w:id="0" w:name="_GoBack"/>
      <w:bookmarkEnd w:id="0"/>
      <w:r w:rsidRPr="00FB219D">
        <w:t xml:space="preserve">Alex is a </w:t>
      </w:r>
      <w:proofErr w:type="spellStart"/>
      <w:r w:rsidRPr="00FB219D">
        <w:t>Wellcome</w:t>
      </w:r>
      <w:proofErr w:type="spellEnd"/>
      <w:r w:rsidRPr="00FB219D">
        <w:t xml:space="preserve"> Research Fellow and Visiting Lecturer at King’s College London, a Visiting Senior Lecturer at the Institute of Psychiatry, Psychology and Neuroscience, King’s College London and a Research Affiliate at the Essex Autonomy Project, University of Essex. He spent 2016 on secondment to the Law Commission as a consultant to their Mental Capacity and Deprivation of Liberty Project and throughout 2018 was legal adviser to the Independent Review of the Mental Health Act 1983.  He is currently a specialist adviser to the Joint Committee on Human Rights for its inquiry into the human rights implications of the Government response to COVID-19.</w:t>
      </w:r>
    </w:p>
    <w:p w:rsidR="00054570" w:rsidRPr="00FB219D" w:rsidRDefault="00054570" w:rsidP="00FB219D">
      <w:pPr>
        <w:jc w:val="both"/>
        <w:rPr>
          <w:rFonts w:eastAsia="Times New Roman"/>
        </w:rPr>
      </w:pPr>
      <w:r w:rsidRPr="00FB219D">
        <w:rPr>
          <w:rFonts w:eastAsia="Times New Roman"/>
        </w:rPr>
        <w:t>In this session, the core principles of capacity as they apply in the context of safeguarding will be looked at, including in the process of safeguarding and situations where impaired capacity is in play in relation to any decisions that the person themselves may need to take to secure their interests.”</w:t>
      </w:r>
    </w:p>
    <w:p w:rsidR="00054570" w:rsidRPr="00FB219D" w:rsidRDefault="00054570" w:rsidP="00FB219D">
      <w:pPr>
        <w:jc w:val="both"/>
      </w:pPr>
    </w:p>
    <w:sectPr w:rsidR="00054570" w:rsidRPr="00FB21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5EB"/>
    <w:rsid w:val="00054570"/>
    <w:rsid w:val="005D187C"/>
    <w:rsid w:val="006F35EB"/>
    <w:rsid w:val="00FB21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C9D27"/>
  <w15:chartTrackingRefBased/>
  <w15:docId w15:val="{F6837432-123D-46E7-B2E8-D0CD03E79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054570"/>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styleId="Title">
    <w:name w:val="Title"/>
    <w:basedOn w:val="Normal"/>
    <w:next w:val="Normal"/>
    <w:link w:val="TitleChar"/>
    <w:uiPriority w:val="10"/>
    <w:qFormat/>
    <w:rsid w:val="00FB219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219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34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Zeina Cook</dc:creator>
  <cp:keywords/>
  <dc:description/>
  <cp:lastModifiedBy>Stephanie Benton</cp:lastModifiedBy>
  <cp:revision>3</cp:revision>
  <dcterms:created xsi:type="dcterms:W3CDTF">2020-09-13T14:09:00Z</dcterms:created>
  <dcterms:modified xsi:type="dcterms:W3CDTF">2021-10-29T15:23:00Z</dcterms:modified>
</cp:coreProperties>
</file>