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533F1" w14:textId="020EE007" w:rsidR="004B7A17" w:rsidRDefault="004E2955">
      <w:pPr>
        <w:rPr>
          <w:rFonts w:ascii="Arial" w:hAnsi="Arial" w:cs="Arial"/>
          <w:sz w:val="24"/>
          <w:szCs w:val="24"/>
        </w:rPr>
      </w:pPr>
      <w:r w:rsidRPr="004E2955">
        <w:rPr>
          <w:rFonts w:ascii="Arial" w:hAnsi="Arial" w:cs="Arial"/>
          <w:sz w:val="24"/>
          <w:szCs w:val="24"/>
        </w:rPr>
        <w:t>Abstract.</w:t>
      </w:r>
    </w:p>
    <w:p w14:paraId="42855929" w14:textId="2C558620" w:rsidR="00AC3864" w:rsidRDefault="004E2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Mental Capacity Amendment Act 2019 introduced</w:t>
      </w:r>
      <w:r w:rsidR="00AC3864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Liberty Protection Safeguards. The implementation programme </w:t>
      </w:r>
      <w:r w:rsidR="00AC3864">
        <w:rPr>
          <w:rFonts w:ascii="Arial" w:hAnsi="Arial" w:cs="Arial"/>
          <w:sz w:val="24"/>
          <w:szCs w:val="24"/>
        </w:rPr>
        <w:t>has experienced setbacks however we still need to prepare to implement an important change to the legal framework that authorises the deprivation of a person’s liberty. The presentation introduces how the transition could be managed and strategies to prepare a healthcare setting for implementation.</w:t>
      </w:r>
    </w:p>
    <w:p w14:paraId="0FB51C47" w14:textId="59534AAB" w:rsidR="004E2955" w:rsidRPr="004E2955" w:rsidRDefault="00AC3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session also aims to consider the interface between the existing DoLS framework and the pending LPS with the Mental Health Act. This interaction is further considered through clinical scenarios.</w:t>
      </w:r>
    </w:p>
    <w:sectPr w:rsidR="004E2955" w:rsidRPr="004E2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55"/>
    <w:rsid w:val="0018383B"/>
    <w:rsid w:val="001C36FB"/>
    <w:rsid w:val="004E2955"/>
    <w:rsid w:val="00A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6028"/>
  <w15:chartTrackingRefBased/>
  <w15:docId w15:val="{FE23508B-FABB-43DF-B1E7-5F3AF88C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 Julie</dc:creator>
  <cp:keywords/>
  <dc:description/>
  <cp:lastModifiedBy>Carr Julie</cp:lastModifiedBy>
  <cp:revision>1</cp:revision>
  <dcterms:created xsi:type="dcterms:W3CDTF">2021-11-30T11:18:00Z</dcterms:created>
  <dcterms:modified xsi:type="dcterms:W3CDTF">2021-11-30T11:48:00Z</dcterms:modified>
</cp:coreProperties>
</file>