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6D7D" w14:textId="77777777" w:rsidR="00A84E06" w:rsidRDefault="00A84E06" w:rsidP="00A84E06">
      <w:pPr>
        <w:rPr>
          <w:rFonts w:ascii="Cera Pro" w:hAnsi="Cera Pro"/>
          <w:sz w:val="24"/>
          <w:szCs w:val="24"/>
        </w:rPr>
      </w:pPr>
      <w:r>
        <w:rPr>
          <w:rFonts w:ascii="Cera Pro" w:hAnsi="Cera Pro"/>
          <w:sz w:val="24"/>
          <w:szCs w:val="24"/>
        </w:rPr>
        <w:t>Matthew is responsible for communications and policy &amp; public affairs at the National Children’s Bureau NCB, overseeing digital content, press and media, policy influencing and Parliamentary engagement. With over 15 years in the children’s sector, Matthew has a track record of driving political and legislative change for children and building coalitions at the interface between central government, the VCS and the public sector. He holds nationally recognised expertise on health, education and social care policy, with relationships at the highest levels in government and in Parliament. Matthew is also co-chair of the Children and Young People’s Health Policy Influencing Group</w:t>
      </w:r>
    </w:p>
    <w:p w14:paraId="77EDDFBA" w14:textId="77777777" w:rsidR="00404EF3" w:rsidRDefault="00404EF3"/>
    <w:sectPr w:rsidR="00404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ra Pr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6"/>
    <w:rsid w:val="00404EF3"/>
    <w:rsid w:val="00A84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B2B5"/>
  <w15:chartTrackingRefBased/>
  <w15:docId w15:val="{F7C89845-A641-44D0-88E7-2424432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0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2023-07-03T07:57:00Z</dcterms:created>
  <dcterms:modified xsi:type="dcterms:W3CDTF">2023-07-03T11:54:00Z</dcterms:modified>
</cp:coreProperties>
</file>