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8CF6" w14:textId="01FC5B2A" w:rsidR="00E01BC5" w:rsidRPr="00F53F2A" w:rsidRDefault="00F53F2A">
      <w:pPr>
        <w:rPr>
          <w:b/>
          <w:bCs/>
        </w:rPr>
      </w:pPr>
      <w:r w:rsidRPr="00F53F2A">
        <w:rPr>
          <w:b/>
          <w:bCs/>
        </w:rPr>
        <w:t>Abstract</w:t>
      </w:r>
    </w:p>
    <w:p w14:paraId="5797E67E" w14:textId="77777777" w:rsidR="00F53F2A" w:rsidRDefault="00F53F2A" w:rsidP="00F53F2A">
      <w:pPr>
        <w:pStyle w:val="NormalWeb"/>
        <w:spacing w:before="0" w:beforeAutospacing="0" w:after="0" w:afterAutospacing="0"/>
      </w:pPr>
      <w:r>
        <w:rPr>
          <w:b/>
          <w:bCs/>
          <w:color w:val="000000"/>
          <w:sz w:val="24"/>
          <w:szCs w:val="24"/>
        </w:rPr>
        <w:t>Ensuring safety in prescribing practice: Immunotherapy treatment and how to manage side effects</w:t>
      </w:r>
    </w:p>
    <w:p w14:paraId="79725453" w14:textId="77777777" w:rsidR="00F53F2A" w:rsidRDefault="00F53F2A" w:rsidP="00F53F2A">
      <w:pPr>
        <w:rPr>
          <w:rFonts w:eastAsia="Times New Roman"/>
        </w:rPr>
      </w:pPr>
    </w:p>
    <w:p w14:paraId="3219EB37" w14:textId="77777777" w:rsidR="00F53F2A" w:rsidRDefault="00F53F2A" w:rsidP="00F53F2A">
      <w:pPr>
        <w:pStyle w:val="NormalWeb"/>
        <w:spacing w:before="0" w:beforeAutospacing="0" w:after="0" w:afterAutospacing="0"/>
      </w:pPr>
      <w:r>
        <w:rPr>
          <w:color w:val="000000"/>
          <w:sz w:val="24"/>
          <w:szCs w:val="24"/>
        </w:rPr>
        <w:t xml:space="preserve">Laura </w:t>
      </w:r>
      <w:proofErr w:type="spellStart"/>
      <w:r>
        <w:rPr>
          <w:color w:val="000000"/>
          <w:sz w:val="24"/>
          <w:szCs w:val="24"/>
        </w:rPr>
        <w:t>Collantes</w:t>
      </w:r>
      <w:proofErr w:type="spellEnd"/>
      <w:r>
        <w:rPr>
          <w:color w:val="000000"/>
          <w:sz w:val="24"/>
          <w:szCs w:val="24"/>
        </w:rPr>
        <w:t xml:space="preserve">-Espinosa </w:t>
      </w:r>
      <w:proofErr w:type="spellStart"/>
      <w:r>
        <w:rPr>
          <w:color w:val="000000"/>
          <w:sz w:val="24"/>
          <w:szCs w:val="24"/>
        </w:rPr>
        <w:t>Msc</w:t>
      </w:r>
      <w:proofErr w:type="spellEnd"/>
      <w:r>
        <w:rPr>
          <w:color w:val="000000"/>
          <w:sz w:val="24"/>
          <w:szCs w:val="24"/>
        </w:rPr>
        <w:t xml:space="preserve"> </w:t>
      </w:r>
      <w:proofErr w:type="spellStart"/>
      <w:r>
        <w:rPr>
          <w:color w:val="000000"/>
          <w:sz w:val="24"/>
          <w:szCs w:val="24"/>
        </w:rPr>
        <w:t>PgDip</w:t>
      </w:r>
      <w:proofErr w:type="spellEnd"/>
      <w:r>
        <w:rPr>
          <w:color w:val="000000"/>
          <w:sz w:val="24"/>
          <w:szCs w:val="24"/>
        </w:rPr>
        <w:t xml:space="preserve"> </w:t>
      </w:r>
      <w:proofErr w:type="spellStart"/>
      <w:r>
        <w:rPr>
          <w:color w:val="000000"/>
          <w:sz w:val="24"/>
          <w:szCs w:val="24"/>
        </w:rPr>
        <w:t>Bsc</w:t>
      </w:r>
      <w:proofErr w:type="spellEnd"/>
      <w:r>
        <w:rPr>
          <w:color w:val="000000"/>
          <w:sz w:val="24"/>
          <w:szCs w:val="24"/>
        </w:rPr>
        <w:t xml:space="preserve"> RN</w:t>
      </w:r>
    </w:p>
    <w:p w14:paraId="27616896" w14:textId="77777777" w:rsidR="00F53F2A" w:rsidRDefault="00F53F2A" w:rsidP="00F53F2A">
      <w:pPr>
        <w:rPr>
          <w:rFonts w:eastAsia="Times New Roman"/>
        </w:rPr>
      </w:pPr>
    </w:p>
    <w:p w14:paraId="5EF60088" w14:textId="77777777" w:rsidR="00F53F2A" w:rsidRDefault="00F53F2A" w:rsidP="00F53F2A">
      <w:pPr>
        <w:pStyle w:val="NormalWeb"/>
        <w:spacing w:before="0" w:beforeAutospacing="0" w:after="0" w:afterAutospacing="0"/>
      </w:pPr>
      <w:r>
        <w:rPr>
          <w:color w:val="000000"/>
          <w:sz w:val="24"/>
          <w:szCs w:val="24"/>
        </w:rPr>
        <w:t>I currently work as an Advanced Nurse Practitioner (ANP) at the Royal Marsden NHS Trust in the Private Systemic Anticancer Treatment (SACT) clinic. I provide care to patients undergoing SACT for different tumour groups such as breast, GI, gynae and neurology.  </w:t>
      </w:r>
    </w:p>
    <w:p w14:paraId="1E7F4A88" w14:textId="77777777" w:rsidR="00F53F2A" w:rsidRDefault="00F53F2A" w:rsidP="00F53F2A">
      <w:pPr>
        <w:pStyle w:val="NormalWeb"/>
        <w:spacing w:before="0" w:beforeAutospacing="0" w:after="0" w:afterAutospacing="0"/>
      </w:pPr>
      <w:r>
        <w:rPr>
          <w:color w:val="000000"/>
          <w:sz w:val="24"/>
          <w:szCs w:val="24"/>
        </w:rPr>
        <w:t>I have experience as a Lecturer Practitioner in Advance Practice, SACT and Acute Oncology (AOS). I worked as an ANP in AOS at Imperial College Healthcare Trust.</w:t>
      </w:r>
    </w:p>
    <w:p w14:paraId="145B172E" w14:textId="77777777" w:rsidR="00F53F2A" w:rsidRDefault="00F53F2A" w:rsidP="00F53F2A">
      <w:pPr>
        <w:pStyle w:val="NormalWeb"/>
        <w:spacing w:before="0" w:beforeAutospacing="0" w:after="0" w:afterAutospacing="0"/>
      </w:pPr>
      <w:r>
        <w:rPr>
          <w:color w:val="000000"/>
          <w:sz w:val="24"/>
          <w:szCs w:val="24"/>
        </w:rPr>
        <w:t>Having experience in oncology, haematology, palliative care ad AOS has allowed me to expand my nursing skills and it has given me a broader overview in cancer care which allowed me to efficiently practice as an ANP.</w:t>
      </w:r>
    </w:p>
    <w:p w14:paraId="0594F60A" w14:textId="77777777" w:rsidR="00F53F2A" w:rsidRDefault="00F53F2A" w:rsidP="00F53F2A">
      <w:pPr>
        <w:rPr>
          <w:rFonts w:eastAsia="Times New Roman"/>
        </w:rPr>
      </w:pPr>
    </w:p>
    <w:p w14:paraId="3EAF8532" w14:textId="77777777" w:rsidR="00F53F2A" w:rsidRDefault="00F53F2A" w:rsidP="00F53F2A">
      <w:pPr>
        <w:pStyle w:val="NormalWeb"/>
        <w:spacing w:before="0" w:beforeAutospacing="0" w:after="0" w:afterAutospacing="0"/>
      </w:pPr>
      <w:r>
        <w:rPr>
          <w:color w:val="000000"/>
          <w:sz w:val="24"/>
          <w:szCs w:val="24"/>
        </w:rPr>
        <w:t>My qualifications are as follows:</w:t>
      </w:r>
    </w:p>
    <w:p w14:paraId="6E95A567" w14:textId="77777777" w:rsidR="00F53F2A" w:rsidRDefault="00F53F2A" w:rsidP="00F53F2A">
      <w:pPr>
        <w:pStyle w:val="NormalWeb"/>
        <w:spacing w:before="0" w:beforeAutospacing="0" w:after="0" w:afterAutospacing="0"/>
      </w:pPr>
      <w:r>
        <w:rPr>
          <w:color w:val="000000"/>
          <w:sz w:val="24"/>
          <w:szCs w:val="24"/>
        </w:rPr>
        <w:t xml:space="preserve">- </w:t>
      </w:r>
      <w:proofErr w:type="spellStart"/>
      <w:r>
        <w:rPr>
          <w:color w:val="000000"/>
          <w:sz w:val="24"/>
          <w:szCs w:val="24"/>
        </w:rPr>
        <w:t>PgDip</w:t>
      </w:r>
      <w:proofErr w:type="spellEnd"/>
      <w:r>
        <w:rPr>
          <w:color w:val="000000"/>
          <w:sz w:val="24"/>
          <w:szCs w:val="24"/>
        </w:rPr>
        <w:t xml:space="preserve"> in Advanced Practice by King’s College London (2016)</w:t>
      </w:r>
    </w:p>
    <w:p w14:paraId="7DF7633D" w14:textId="77777777" w:rsidR="00F53F2A" w:rsidRDefault="00F53F2A" w:rsidP="00F53F2A">
      <w:pPr>
        <w:pStyle w:val="NormalWeb"/>
        <w:spacing w:before="0" w:beforeAutospacing="0" w:after="0" w:afterAutospacing="0"/>
      </w:pPr>
      <w:r>
        <w:rPr>
          <w:color w:val="000000"/>
          <w:sz w:val="24"/>
          <w:szCs w:val="24"/>
        </w:rPr>
        <w:t xml:space="preserve">- Master in Medical Expertise by Universidad </w:t>
      </w:r>
      <w:proofErr w:type="spellStart"/>
      <w:r>
        <w:rPr>
          <w:color w:val="000000"/>
          <w:sz w:val="24"/>
          <w:szCs w:val="24"/>
        </w:rPr>
        <w:t>Complutense</w:t>
      </w:r>
      <w:proofErr w:type="spellEnd"/>
      <w:r>
        <w:rPr>
          <w:color w:val="000000"/>
          <w:sz w:val="24"/>
          <w:szCs w:val="24"/>
        </w:rPr>
        <w:t xml:space="preserve"> de Madrid (2011)</w:t>
      </w:r>
    </w:p>
    <w:p w14:paraId="16A7210F" w14:textId="77777777" w:rsidR="00F53F2A" w:rsidRDefault="00F53F2A" w:rsidP="00F53F2A">
      <w:pPr>
        <w:pStyle w:val="NormalWeb"/>
        <w:spacing w:before="0" w:beforeAutospacing="0" w:after="0" w:afterAutospacing="0"/>
      </w:pPr>
      <w:r>
        <w:rPr>
          <w:color w:val="000000"/>
          <w:sz w:val="24"/>
          <w:szCs w:val="24"/>
        </w:rPr>
        <w:t xml:space="preserve">- Nursing Degree by Universidad </w:t>
      </w:r>
      <w:proofErr w:type="spellStart"/>
      <w:r>
        <w:rPr>
          <w:color w:val="000000"/>
          <w:sz w:val="24"/>
          <w:szCs w:val="24"/>
        </w:rPr>
        <w:t>Complutense</w:t>
      </w:r>
      <w:proofErr w:type="spellEnd"/>
      <w:r>
        <w:rPr>
          <w:color w:val="000000"/>
          <w:sz w:val="24"/>
          <w:szCs w:val="24"/>
        </w:rPr>
        <w:t xml:space="preserve"> de Madrid (2007)</w:t>
      </w:r>
    </w:p>
    <w:p w14:paraId="24AC06B5" w14:textId="77777777" w:rsidR="00F53F2A" w:rsidRDefault="00F53F2A" w:rsidP="00F53F2A">
      <w:pPr>
        <w:rPr>
          <w:rFonts w:eastAsia="Times New Roman"/>
        </w:rPr>
      </w:pPr>
    </w:p>
    <w:p w14:paraId="768A0174" w14:textId="77777777" w:rsidR="00F53F2A" w:rsidRDefault="00F53F2A" w:rsidP="00F53F2A">
      <w:pPr>
        <w:pStyle w:val="NormalWeb"/>
        <w:spacing w:before="0" w:beforeAutospacing="0" w:after="0" w:afterAutospacing="0"/>
      </w:pPr>
      <w:r>
        <w:rPr>
          <w:color w:val="000000"/>
          <w:sz w:val="24"/>
          <w:szCs w:val="24"/>
        </w:rPr>
        <w:t>This presentation gives a brief overview of the current immune checkpoint inhibitors used in practice and their uses and what considerations are required when prescribing them. We will explore the most common adverse events and discuss their treatment through two real life case studies.</w:t>
      </w:r>
    </w:p>
    <w:p w14:paraId="2766A5B8" w14:textId="77777777" w:rsidR="00F53F2A" w:rsidRDefault="00F53F2A" w:rsidP="00F53F2A">
      <w:pPr>
        <w:spacing w:after="240"/>
        <w:rPr>
          <w:rFonts w:eastAsia="Times New Roman"/>
        </w:rPr>
      </w:pPr>
    </w:p>
    <w:p w14:paraId="27F050F2" w14:textId="77777777" w:rsidR="00F53F2A" w:rsidRDefault="00F53F2A" w:rsidP="00F53F2A">
      <w:pPr>
        <w:pStyle w:val="NormalWeb"/>
        <w:spacing w:before="0" w:beforeAutospacing="0" w:after="0" w:afterAutospacing="0"/>
      </w:pPr>
      <w:r>
        <w:rPr>
          <w:color w:val="000000"/>
          <w:sz w:val="24"/>
          <w:szCs w:val="24"/>
        </w:rPr>
        <w:t>Reference list:</w:t>
      </w:r>
    </w:p>
    <w:p w14:paraId="495E2A3B" w14:textId="77777777" w:rsidR="00F53F2A" w:rsidRDefault="00F53F2A" w:rsidP="00F53F2A">
      <w:pPr>
        <w:numPr>
          <w:ilvl w:val="0"/>
          <w:numId w:val="1"/>
        </w:numPr>
        <w:spacing w:before="100" w:beforeAutospacing="1" w:after="100" w:afterAutospacing="1"/>
        <w:textAlignment w:val="baseline"/>
        <w:rPr>
          <w:rFonts w:eastAsia="Times New Roman"/>
          <w:i/>
          <w:iCs/>
          <w:color w:val="000000"/>
          <w:sz w:val="24"/>
          <w:szCs w:val="24"/>
        </w:rPr>
      </w:pPr>
    </w:p>
    <w:p w14:paraId="3C86FCDD"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p>
    <w:p w14:paraId="219F858D"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Centanni</w:t>
      </w:r>
      <w:proofErr w:type="spellEnd"/>
      <w:r>
        <w:rPr>
          <w:rFonts w:ascii="Times New Roman" w:eastAsia="Times New Roman" w:hAnsi="Times New Roman" w:cs="Times New Roman"/>
          <w:color w:val="000000"/>
          <w:sz w:val="24"/>
          <w:szCs w:val="24"/>
        </w:rPr>
        <w:t xml:space="preserve"> M.,</w:t>
      </w:r>
    </w:p>
    <w:p w14:paraId="7FD32ED6"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hyperlink r:id="rId5" w:history="1">
        <w:proofErr w:type="spellStart"/>
        <w:r>
          <w:rPr>
            <w:rStyle w:val="Hyperlink"/>
            <w:rFonts w:ascii="Times New Roman" w:eastAsia="Times New Roman" w:hAnsi="Times New Roman" w:cs="Times New Roman"/>
            <w:color w:val="000000"/>
            <w:sz w:val="24"/>
            <w:szCs w:val="24"/>
          </w:rPr>
          <w:t>Moes</w:t>
        </w:r>
        <w:proofErr w:type="spellEnd"/>
      </w:hyperlink>
    </w:p>
    <w:p w14:paraId="63B8C5EB" w14:textId="77777777" w:rsidR="00F53F2A" w:rsidRDefault="00F53F2A" w:rsidP="00F53F2A">
      <w:pPr>
        <w:numPr>
          <w:ilvl w:val="0"/>
          <w:numId w:val="1"/>
        </w:numPr>
        <w:textAlignment w:val="baseline"/>
        <w:rPr>
          <w:rStyle w:val="Hyperlink"/>
          <w:color w:val="000000"/>
        </w:rPr>
      </w:pPr>
      <w:hyperlink r:id="rId6" w:history="1">
        <w:r>
          <w:rPr>
            <w:rStyle w:val="Hyperlink"/>
            <w:rFonts w:ascii="Times New Roman" w:eastAsia="Times New Roman" w:hAnsi="Times New Roman" w:cs="Times New Roman"/>
            <w:color w:val="000000"/>
            <w:sz w:val="24"/>
            <w:szCs w:val="24"/>
          </w:rPr>
          <w:t>D.J.A.</w:t>
        </w:r>
      </w:hyperlink>
    </w:p>
    <w:p w14:paraId="428DC414" w14:textId="77777777" w:rsidR="00F53F2A" w:rsidRDefault="00F53F2A" w:rsidP="00F53F2A">
      <w:pPr>
        <w:numPr>
          <w:ilvl w:val="0"/>
          <w:numId w:val="1"/>
        </w:numPr>
        <w:textAlignment w:val="baseline"/>
      </w:pPr>
      <w:hyperlink r:id="rId7" w:history="1">
        <w:r>
          <w:rPr>
            <w:rStyle w:val="Hyperlink"/>
            <w:rFonts w:ascii="Times New Roman" w:eastAsia="Times New Roman" w:hAnsi="Times New Roman" w:cs="Times New Roman"/>
            <w:color w:val="000000"/>
            <w:sz w:val="24"/>
            <w:szCs w:val="24"/>
          </w:rPr>
          <w:t xml:space="preserve"> R.</w:t>
        </w:r>
      </w:hyperlink>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iCs/>
          <w:color w:val="000000"/>
          <w:sz w:val="24"/>
          <w:szCs w:val="24"/>
        </w:rPr>
        <w:fldChar w:fldCharType="begin"/>
      </w:r>
      <w:r>
        <w:rPr>
          <w:rFonts w:ascii="Times New Roman" w:eastAsia="Times New Roman" w:hAnsi="Times New Roman" w:cs="Times New Roman"/>
          <w:i/>
          <w:iCs/>
          <w:color w:val="000000"/>
          <w:sz w:val="24"/>
          <w:szCs w:val="24"/>
        </w:rPr>
        <w:instrText xml:space="preserve"> HYPERLINK "https://pubmed.ncbi.nlm.nih.gov/?term=Troc%C3%B3niz%20IF%5BAuthor%5D" </w:instrText>
      </w:r>
      <w:r>
        <w:rPr>
          <w:rFonts w:ascii="Times New Roman" w:eastAsia="Times New Roman" w:hAnsi="Times New Roman" w:cs="Times New Roman"/>
          <w:i/>
          <w:iCs/>
          <w:color w:val="000000"/>
          <w:sz w:val="24"/>
          <w:szCs w:val="24"/>
        </w:rPr>
        <w:fldChar w:fldCharType="separate"/>
      </w:r>
      <w:r>
        <w:rPr>
          <w:rStyle w:val="Hyperlink"/>
          <w:rFonts w:ascii="Times New Roman" w:eastAsia="Times New Roman" w:hAnsi="Times New Roman" w:cs="Times New Roman"/>
          <w:color w:val="000000"/>
          <w:sz w:val="24"/>
          <w:szCs w:val="24"/>
        </w:rPr>
        <w:t>Trocóniz</w:t>
      </w:r>
      <w:proofErr w:type="spellEnd"/>
      <w:r>
        <w:rPr>
          <w:rFonts w:ascii="Times New Roman" w:eastAsia="Times New Roman" w:hAnsi="Times New Roman" w:cs="Times New Roman"/>
          <w:i/>
          <w:iCs/>
          <w:color w:val="000000"/>
          <w:sz w:val="24"/>
          <w:szCs w:val="24"/>
        </w:rPr>
        <w:fldChar w:fldCharType="end"/>
      </w:r>
    </w:p>
    <w:p w14:paraId="53A808D5"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I.F.,</w:t>
      </w:r>
      <w:hyperlink r:id="rId8" w:history="1">
        <w:r>
          <w:rPr>
            <w:rStyle w:val="Hyperlink"/>
            <w:rFonts w:ascii="Times New Roman" w:eastAsia="Times New Roman" w:hAnsi="Times New Roman" w:cs="Times New Roman"/>
            <w:color w:val="000000"/>
            <w:sz w:val="24"/>
            <w:szCs w:val="24"/>
          </w:rPr>
          <w:t>Ciccolini</w:t>
        </w:r>
        <w:proofErr w:type="spellEnd"/>
      </w:hyperlink>
    </w:p>
    <w:p w14:paraId="7067BDD9"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hyperlink r:id="rId9" w:history="1">
        <w:r>
          <w:rPr>
            <w:rStyle w:val="Hyperlink"/>
            <w:rFonts w:ascii="Times New Roman" w:eastAsia="Times New Roman" w:hAnsi="Times New Roman" w:cs="Times New Roman"/>
            <w:color w:val="000000"/>
            <w:sz w:val="24"/>
            <w:szCs w:val="24"/>
          </w:rPr>
          <w:t>J</w:t>
        </w:r>
      </w:hyperlink>
      <w:r>
        <w:rPr>
          <w:rFonts w:ascii="Times New Roman" w:eastAsia="Times New Roman" w:hAnsi="Times New Roman" w:cs="Times New Roman"/>
          <w:color w:val="000000"/>
          <w:sz w:val="24"/>
          <w:szCs w:val="24"/>
        </w:rPr>
        <w:t>.</w:t>
      </w:r>
    </w:p>
    <w:p w14:paraId="56EB324E" w14:textId="77777777" w:rsidR="00F53F2A" w:rsidRDefault="00F53F2A" w:rsidP="00F53F2A">
      <w:pPr>
        <w:numPr>
          <w:ilvl w:val="0"/>
          <w:numId w:val="1"/>
        </w:numPr>
        <w:textAlignment w:val="baseline"/>
        <w:rPr>
          <w:rStyle w:val="Hyperlink"/>
          <w:color w:val="000000"/>
        </w:rPr>
      </w:pPr>
      <w:r>
        <w:rPr>
          <w:rFonts w:ascii="Times New Roman" w:eastAsia="Times New Roman" w:hAnsi="Times New Roman" w:cs="Times New Roman"/>
          <w:color w:val="000000"/>
          <w:sz w:val="24"/>
          <w:szCs w:val="24"/>
        </w:rPr>
        <w:t xml:space="preserve"> and</w:t>
      </w:r>
    </w:p>
    <w:p w14:paraId="17F5B993" w14:textId="77777777" w:rsidR="00F53F2A" w:rsidRDefault="00F53F2A" w:rsidP="00F53F2A">
      <w:pPr>
        <w:numPr>
          <w:ilvl w:val="0"/>
          <w:numId w:val="1"/>
        </w:numPr>
        <w:textAlignment w:val="baseline"/>
      </w:pPr>
      <w:hyperlink r:id="rId10" w:history="1">
        <w:r>
          <w:rPr>
            <w:rStyle w:val="Hyperlink"/>
            <w:rFonts w:ascii="Times New Roman" w:eastAsia="Times New Roman" w:hAnsi="Times New Roman" w:cs="Times New Roman"/>
            <w:color w:val="000000"/>
            <w:sz w:val="24"/>
            <w:szCs w:val="24"/>
          </w:rPr>
          <w:t xml:space="preserve"> Coen van Hasselt</w:t>
        </w:r>
      </w:hyperlink>
      <w:r>
        <w:rPr>
          <w:rFonts w:ascii="Times New Roman" w:eastAsia="Times New Roman" w:hAnsi="Times New Roman" w:cs="Times New Roman"/>
          <w:color w:val="000000"/>
          <w:sz w:val="24"/>
          <w:szCs w:val="24"/>
        </w:rPr>
        <w:t> </w:t>
      </w:r>
    </w:p>
    <w:p w14:paraId="48DCEAB5" w14:textId="77777777" w:rsidR="00F53F2A" w:rsidRDefault="00F53F2A" w:rsidP="00F53F2A">
      <w:pPr>
        <w:numPr>
          <w:ilvl w:val="0"/>
          <w:numId w:val="1"/>
        </w:numPr>
        <w:textAlignment w:val="baseline"/>
        <w:rPr>
          <w:rStyle w:val="Hyperlink"/>
          <w:color w:val="000000"/>
        </w:rPr>
      </w:pPr>
      <w:hyperlink r:id="rId11" w:history="1">
        <w:r>
          <w:rPr>
            <w:rStyle w:val="Hyperlink"/>
            <w:rFonts w:ascii="Times New Roman" w:eastAsia="Times New Roman" w:hAnsi="Times New Roman" w:cs="Times New Roman"/>
            <w:color w:val="000000"/>
            <w:sz w:val="24"/>
            <w:szCs w:val="24"/>
          </w:rPr>
          <w:t>J.</w:t>
        </w:r>
      </w:hyperlink>
    </w:p>
    <w:p w14:paraId="5E250555" w14:textId="77777777" w:rsidR="00F53F2A" w:rsidRDefault="00F53F2A" w:rsidP="00F53F2A">
      <w:pPr>
        <w:numPr>
          <w:ilvl w:val="0"/>
          <w:numId w:val="1"/>
        </w:numPr>
        <w:textAlignment w:val="baseline"/>
      </w:pPr>
      <w:hyperlink r:id="rId12" w:history="1">
        <w:r>
          <w:rPr>
            <w:rStyle w:val="Hyperlink"/>
            <w:rFonts w:ascii="Times New Roman" w:eastAsia="Times New Roman" w:hAnsi="Times New Roman" w:cs="Times New Roman"/>
            <w:color w:val="000000"/>
            <w:sz w:val="24"/>
            <w:szCs w:val="24"/>
          </w:rPr>
          <w:t xml:space="preserve"> G.</w:t>
        </w:r>
      </w:hyperlink>
      <w:r>
        <w:rPr>
          <w:rFonts w:ascii="Times New Roman" w:eastAsia="Times New Roman" w:hAnsi="Times New Roman" w:cs="Times New Roman"/>
          <w:color w:val="000000"/>
          <w:sz w:val="24"/>
          <w:szCs w:val="24"/>
        </w:rPr>
        <w:t xml:space="preserve"> (2019)</w:t>
      </w:r>
    </w:p>
    <w:p w14:paraId="4D4A7714"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Clinical Pharmacokinetics and Pharmacodynamics of Immune Checkpoint Inhibitors</w:t>
      </w:r>
      <w:r>
        <w:rPr>
          <w:rFonts w:ascii="Times New Roman" w:eastAsia="Times New Roman" w:hAnsi="Times New Roman" w:cs="Times New Roman"/>
          <w:color w:val="000000"/>
          <w:sz w:val="24"/>
          <w:szCs w:val="24"/>
        </w:rPr>
        <w:t>.</w:t>
      </w:r>
    </w:p>
    <w:p w14:paraId="3CC71501"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Clinical Pharmacokinetics </w:t>
      </w:r>
      <w:r>
        <w:rPr>
          <w:rFonts w:ascii="Times New Roman" w:eastAsia="Times New Roman" w:hAnsi="Times New Roman" w:cs="Times New Roman"/>
          <w:color w:val="212121"/>
          <w:sz w:val="24"/>
          <w:szCs w:val="24"/>
        </w:rPr>
        <w:t>58(7): 835–857.</w:t>
      </w:r>
      <w:r>
        <w:rPr>
          <w:rFonts w:ascii="Times New Roman" w:eastAsia="Times New Roman" w:hAnsi="Times New Roman" w:cs="Times New Roman"/>
          <w:color w:val="000000"/>
          <w:sz w:val="24"/>
          <w:szCs w:val="24"/>
        </w:rPr>
        <w:t>.</w:t>
      </w:r>
    </w:p>
    <w:p w14:paraId="3C7D9FEE"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Available at </w:t>
      </w:r>
      <w:hyperlink r:id="rId13" w:history="1">
        <w:r>
          <w:rPr>
            <w:rStyle w:val="Hyperlink"/>
            <w:rFonts w:ascii="Times New Roman" w:eastAsia="Times New Roman" w:hAnsi="Times New Roman" w:cs="Times New Roman"/>
            <w:color w:val="0563C1"/>
            <w:sz w:val="24"/>
            <w:szCs w:val="24"/>
          </w:rPr>
          <w:t>https://www.ncbi.nlm.nih.gov/pmc/articles/PMC6584248/</w:t>
        </w:r>
      </w:hyperlink>
      <w:r>
        <w:rPr>
          <w:rFonts w:ascii="Times New Roman" w:eastAsia="Times New Roman" w:hAnsi="Times New Roman" w:cs="Times New Roman"/>
          <w:color w:val="000000"/>
          <w:sz w:val="24"/>
          <w:szCs w:val="24"/>
        </w:rPr>
        <w:t> </w:t>
      </w:r>
    </w:p>
    <w:p w14:paraId="3A6D3BC3" w14:textId="77777777" w:rsidR="00F53F2A" w:rsidRDefault="00F53F2A" w:rsidP="00F53F2A">
      <w:pPr>
        <w:numPr>
          <w:ilvl w:val="0"/>
          <w:numId w:val="1"/>
        </w:numPr>
        <w:spacing w:before="100" w:beforeAutospacing="1" w:after="100" w:afterAutospacing="1"/>
        <w:textAlignment w:val="baseline"/>
        <w:rPr>
          <w:rFonts w:ascii="Calibri" w:eastAsia="Times New Roman" w:hAnsi="Calibri" w:cs="Calibri"/>
          <w:i/>
          <w:iCs/>
          <w:color w:val="000000"/>
          <w:sz w:val="24"/>
          <w:szCs w:val="24"/>
        </w:rPr>
      </w:pPr>
    </w:p>
    <w:p w14:paraId="0B9A7A90" w14:textId="77777777" w:rsidR="00F53F2A" w:rsidRDefault="00F53F2A" w:rsidP="00F53F2A">
      <w:pPr>
        <w:numPr>
          <w:ilvl w:val="0"/>
          <w:numId w:val="1"/>
        </w:numPr>
        <w:spacing w:before="100" w:beforeAutospacing="1" w:after="100" w:afterAutospacing="1"/>
        <w:textAlignment w:val="baseline"/>
        <w:rPr>
          <w:rFonts w:eastAsia="Times New Roman"/>
          <w:i/>
          <w:iCs/>
          <w:color w:val="000000"/>
          <w:sz w:val="24"/>
          <w:szCs w:val="24"/>
        </w:rPr>
      </w:pPr>
    </w:p>
    <w:p w14:paraId="405CAE2B"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p>
    <w:p w14:paraId="3E9288E1"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proofErr w:type="spellStart"/>
      <w:r>
        <w:rPr>
          <w:rFonts w:ascii="Times New Roman" w:eastAsia="Times New Roman" w:hAnsi="Times New Roman" w:cs="Times New Roman"/>
          <w:i/>
          <w:iCs/>
          <w:color w:val="000000"/>
          <w:sz w:val="24"/>
          <w:szCs w:val="24"/>
        </w:rPr>
        <w:t>Fearfield</w:t>
      </w:r>
      <w:proofErr w:type="spellEnd"/>
      <w:r>
        <w:rPr>
          <w:rFonts w:ascii="Times New Roman" w:eastAsia="Times New Roman" w:hAnsi="Times New Roman" w:cs="Times New Roman"/>
          <w:i/>
          <w:iCs/>
          <w:color w:val="000000"/>
          <w:sz w:val="24"/>
          <w:szCs w:val="24"/>
        </w:rPr>
        <w:t xml:space="preserve"> L., </w:t>
      </w:r>
      <w:proofErr w:type="spellStart"/>
      <w:r>
        <w:rPr>
          <w:rFonts w:ascii="Times New Roman" w:eastAsia="Times New Roman" w:hAnsi="Times New Roman" w:cs="Times New Roman"/>
          <w:i/>
          <w:iCs/>
          <w:color w:val="000000"/>
          <w:sz w:val="24"/>
          <w:szCs w:val="24"/>
        </w:rPr>
        <w:t>Heelan</w:t>
      </w:r>
      <w:proofErr w:type="spellEnd"/>
      <w:r>
        <w:rPr>
          <w:rFonts w:ascii="Times New Roman" w:eastAsia="Times New Roman" w:hAnsi="Times New Roman" w:cs="Times New Roman"/>
          <w:i/>
          <w:iCs/>
          <w:color w:val="000000"/>
          <w:sz w:val="24"/>
          <w:szCs w:val="24"/>
        </w:rPr>
        <w:t xml:space="preserve"> K., Harland C., Larkin J., </w:t>
      </w:r>
      <w:proofErr w:type="spellStart"/>
      <w:r>
        <w:rPr>
          <w:rFonts w:ascii="Times New Roman" w:eastAsia="Times New Roman" w:hAnsi="Times New Roman" w:cs="Times New Roman"/>
          <w:i/>
          <w:iCs/>
          <w:color w:val="000000"/>
          <w:sz w:val="24"/>
          <w:szCs w:val="24"/>
        </w:rPr>
        <w:t>Turajlic</w:t>
      </w:r>
      <w:proofErr w:type="spellEnd"/>
      <w:r>
        <w:rPr>
          <w:rFonts w:ascii="Times New Roman" w:eastAsia="Times New Roman" w:hAnsi="Times New Roman" w:cs="Times New Roman"/>
          <w:i/>
          <w:iCs/>
          <w:color w:val="000000"/>
          <w:sz w:val="24"/>
          <w:szCs w:val="24"/>
        </w:rPr>
        <w:t xml:space="preserve"> S., Chauhan D. And Yousaf N. (2019) Immune</w:t>
      </w:r>
    </w:p>
    <w:p w14:paraId="1699F0BD"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Checkpoint Inhibitor (</w:t>
      </w:r>
      <w:proofErr w:type="spellStart"/>
      <w:r>
        <w:rPr>
          <w:rFonts w:ascii="Times New Roman" w:eastAsia="Times New Roman" w:hAnsi="Times New Roman" w:cs="Times New Roman"/>
          <w:i/>
          <w:iCs/>
          <w:color w:val="000000"/>
          <w:sz w:val="24"/>
          <w:szCs w:val="24"/>
        </w:rPr>
        <w:t>Icpi</w:t>
      </w:r>
      <w:proofErr w:type="spellEnd"/>
      <w:r>
        <w:rPr>
          <w:rFonts w:ascii="Times New Roman" w:eastAsia="Times New Roman" w:hAnsi="Times New Roman" w:cs="Times New Roman"/>
          <w:i/>
          <w:iCs/>
          <w:color w:val="000000"/>
          <w:sz w:val="24"/>
          <w:szCs w:val="24"/>
        </w:rPr>
        <w:t>)-related Toxicity: Management Of Skin Rash/Toxicity Available at RMH intranet</w:t>
      </w:r>
    </w:p>
    <w:p w14:paraId="2AB543B3" w14:textId="77777777" w:rsidR="00F53F2A" w:rsidRDefault="00F53F2A" w:rsidP="00F53F2A">
      <w:pPr>
        <w:numPr>
          <w:ilvl w:val="0"/>
          <w:numId w:val="1"/>
        </w:numPr>
        <w:spacing w:before="100" w:beforeAutospacing="1" w:after="100" w:afterAutospacing="1"/>
        <w:textAlignment w:val="baseline"/>
        <w:rPr>
          <w:rFonts w:ascii="Calibri" w:eastAsia="Times New Roman" w:hAnsi="Calibri" w:cs="Calibri"/>
          <w:i/>
          <w:iCs/>
          <w:color w:val="000000"/>
          <w:sz w:val="24"/>
          <w:szCs w:val="24"/>
        </w:rPr>
      </w:pPr>
    </w:p>
    <w:p w14:paraId="06F2F6FC" w14:textId="77777777" w:rsidR="00F53F2A" w:rsidRDefault="00F53F2A" w:rsidP="00F53F2A">
      <w:pPr>
        <w:numPr>
          <w:ilvl w:val="0"/>
          <w:numId w:val="1"/>
        </w:numPr>
        <w:spacing w:before="100" w:beforeAutospacing="1" w:after="100" w:afterAutospacing="1"/>
        <w:textAlignment w:val="baseline"/>
        <w:rPr>
          <w:rFonts w:eastAsia="Times New Roman"/>
          <w:i/>
          <w:iCs/>
          <w:color w:val="000000"/>
          <w:sz w:val="24"/>
          <w:szCs w:val="24"/>
        </w:rPr>
      </w:pPr>
    </w:p>
    <w:p w14:paraId="31F9C391"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p>
    <w:p w14:paraId="55D056FC"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proofErr w:type="spellStart"/>
      <w:r>
        <w:rPr>
          <w:rFonts w:ascii="Times New Roman" w:eastAsia="Times New Roman" w:hAnsi="Times New Roman" w:cs="Times New Roman"/>
          <w:i/>
          <w:iCs/>
          <w:color w:val="000000"/>
          <w:sz w:val="24"/>
          <w:szCs w:val="24"/>
        </w:rPr>
        <w:t>Haanen</w:t>
      </w:r>
      <w:proofErr w:type="spellEnd"/>
      <w:r>
        <w:rPr>
          <w:rFonts w:ascii="Times New Roman" w:eastAsia="Times New Roman" w:hAnsi="Times New Roman" w:cs="Times New Roman"/>
          <w:i/>
          <w:iCs/>
          <w:color w:val="000000"/>
          <w:sz w:val="24"/>
          <w:szCs w:val="24"/>
        </w:rPr>
        <w:t xml:space="preserve"> J., Obeid M., Spain L. , </w:t>
      </w:r>
      <w:proofErr w:type="spellStart"/>
      <w:r>
        <w:rPr>
          <w:rFonts w:ascii="Times New Roman" w:eastAsia="Times New Roman" w:hAnsi="Times New Roman" w:cs="Times New Roman"/>
          <w:i/>
          <w:iCs/>
          <w:color w:val="000000"/>
          <w:sz w:val="24"/>
          <w:szCs w:val="24"/>
        </w:rPr>
        <w:t>Carbonnel</w:t>
      </w:r>
      <w:proofErr w:type="spellEnd"/>
      <w:r>
        <w:rPr>
          <w:rFonts w:ascii="Times New Roman" w:eastAsia="Times New Roman" w:hAnsi="Times New Roman" w:cs="Times New Roman"/>
          <w:i/>
          <w:iCs/>
          <w:color w:val="000000"/>
          <w:sz w:val="24"/>
          <w:szCs w:val="24"/>
        </w:rPr>
        <w:t xml:space="preserve"> F. , Wang Y. , Robert C., Lyon A. R. , Wick W., </w:t>
      </w:r>
      <w:proofErr w:type="spellStart"/>
      <w:r>
        <w:rPr>
          <w:rFonts w:ascii="Times New Roman" w:eastAsia="Times New Roman" w:hAnsi="Times New Roman" w:cs="Times New Roman"/>
          <w:i/>
          <w:iCs/>
          <w:color w:val="000000"/>
          <w:sz w:val="24"/>
          <w:szCs w:val="24"/>
        </w:rPr>
        <w:t>Kostine</w:t>
      </w:r>
      <w:proofErr w:type="spellEnd"/>
      <w:r>
        <w:rPr>
          <w:rFonts w:ascii="Times New Roman" w:eastAsia="Times New Roman" w:hAnsi="Times New Roman" w:cs="Times New Roman"/>
          <w:i/>
          <w:iCs/>
          <w:color w:val="000000"/>
          <w:sz w:val="24"/>
          <w:szCs w:val="24"/>
        </w:rPr>
        <w:t> </w:t>
      </w:r>
    </w:p>
    <w:p w14:paraId="34A5DC10"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M., Peters S. , Jordan K.  &amp; Larkin J. , on behalf of the ESMO Guidelines Committee (2022) Management of toxicities from immunotherapy: ESMO Clinical Practice Guideline for diagnosis, treatment and follow-up</w:t>
      </w:r>
    </w:p>
    <w:p w14:paraId="59F81579"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Available online at</w:t>
      </w:r>
    </w:p>
    <w:p w14:paraId="1D5C9D9F"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hyperlink r:id="rId14" w:history="1">
        <w:r>
          <w:rPr>
            <w:rStyle w:val="Hyperlink"/>
            <w:rFonts w:ascii="Times New Roman" w:eastAsia="Times New Roman" w:hAnsi="Times New Roman" w:cs="Times New Roman"/>
            <w:sz w:val="24"/>
            <w:szCs w:val="24"/>
          </w:rPr>
          <w:t>https://www.esmo.org/guidelines</w:t>
        </w:r>
      </w:hyperlink>
      <w:r>
        <w:rPr>
          <w:rFonts w:ascii="Times New Roman" w:eastAsia="Times New Roman" w:hAnsi="Times New Roman" w:cs="Times New Roman"/>
          <w:color w:val="000000"/>
          <w:sz w:val="24"/>
          <w:szCs w:val="24"/>
        </w:rPr>
        <w:t> </w:t>
      </w:r>
    </w:p>
    <w:p w14:paraId="0517AE5D" w14:textId="77777777" w:rsidR="00F53F2A" w:rsidRDefault="00F53F2A" w:rsidP="00F53F2A">
      <w:pPr>
        <w:numPr>
          <w:ilvl w:val="0"/>
          <w:numId w:val="1"/>
        </w:numPr>
        <w:spacing w:before="100" w:beforeAutospacing="1" w:after="100" w:afterAutospacing="1"/>
        <w:textAlignment w:val="baseline"/>
        <w:rPr>
          <w:rFonts w:ascii="Calibri" w:eastAsia="Times New Roman" w:hAnsi="Calibri" w:cs="Calibri"/>
          <w:i/>
          <w:iCs/>
          <w:color w:val="000000"/>
          <w:sz w:val="24"/>
          <w:szCs w:val="24"/>
        </w:rPr>
      </w:pPr>
    </w:p>
    <w:p w14:paraId="7888D1D7" w14:textId="77777777" w:rsidR="00F53F2A" w:rsidRDefault="00F53F2A" w:rsidP="00F53F2A">
      <w:pPr>
        <w:numPr>
          <w:ilvl w:val="0"/>
          <w:numId w:val="1"/>
        </w:numPr>
        <w:spacing w:before="100" w:beforeAutospacing="1" w:after="100" w:afterAutospacing="1"/>
        <w:textAlignment w:val="baseline"/>
        <w:rPr>
          <w:rFonts w:eastAsia="Times New Roman"/>
          <w:i/>
          <w:iCs/>
          <w:color w:val="000000"/>
          <w:sz w:val="24"/>
          <w:szCs w:val="24"/>
        </w:rPr>
      </w:pPr>
    </w:p>
    <w:p w14:paraId="33E71DD1"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p>
    <w:p w14:paraId="446FA661"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proofErr w:type="spellStart"/>
      <w:r>
        <w:rPr>
          <w:rFonts w:ascii="Times New Roman" w:eastAsia="Times New Roman" w:hAnsi="Times New Roman" w:cs="Times New Roman"/>
          <w:color w:val="000000"/>
          <w:sz w:val="24"/>
          <w:szCs w:val="24"/>
        </w:rPr>
        <w:t>Haanen</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Lugowska</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Garassino</w:t>
      </w:r>
      <w:proofErr w:type="spellEnd"/>
      <w:r>
        <w:rPr>
          <w:rFonts w:ascii="Times New Roman" w:eastAsia="Times New Roman" w:hAnsi="Times New Roman" w:cs="Times New Roman"/>
          <w:color w:val="000000"/>
          <w:sz w:val="24"/>
          <w:szCs w:val="24"/>
        </w:rPr>
        <w:t xml:space="preserve"> M.C., </w:t>
      </w:r>
      <w:proofErr w:type="spellStart"/>
      <w:r>
        <w:rPr>
          <w:rFonts w:ascii="Times New Roman" w:eastAsia="Times New Roman" w:hAnsi="Times New Roman" w:cs="Times New Roman"/>
          <w:color w:val="000000"/>
          <w:sz w:val="24"/>
          <w:szCs w:val="24"/>
        </w:rPr>
        <w:t>Califano</w:t>
      </w:r>
      <w:proofErr w:type="spellEnd"/>
      <w:r>
        <w:rPr>
          <w:rFonts w:ascii="Times New Roman" w:eastAsia="Times New Roman" w:hAnsi="Times New Roman" w:cs="Times New Roman"/>
          <w:color w:val="000000"/>
          <w:sz w:val="24"/>
          <w:szCs w:val="24"/>
        </w:rPr>
        <w:t xml:space="preserve"> R. (2018)</w:t>
      </w:r>
    </w:p>
    <w:p w14:paraId="0A4EADB6"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ESMO Handbook of Immuno-Oncology available at </w:t>
      </w:r>
      <w:hyperlink r:id="rId15" w:history="1">
        <w:r>
          <w:rPr>
            <w:rStyle w:val="Hyperlink"/>
            <w:rFonts w:ascii="Times New Roman" w:eastAsia="Times New Roman" w:hAnsi="Times New Roman" w:cs="Times New Roman"/>
            <w:i/>
            <w:iCs/>
            <w:sz w:val="24"/>
            <w:szCs w:val="24"/>
          </w:rPr>
          <w:t>https://oncologypro.esmo.org/education-library/esmo-handbooks/</w:t>
        </w:r>
      </w:hyperlink>
      <w:r>
        <w:rPr>
          <w:rFonts w:ascii="Times New Roman" w:eastAsia="Times New Roman" w:hAnsi="Times New Roman" w:cs="Times New Roman"/>
          <w:i/>
          <w:iCs/>
          <w:color w:val="000000"/>
          <w:sz w:val="24"/>
          <w:szCs w:val="24"/>
        </w:rPr>
        <w:t> </w:t>
      </w:r>
    </w:p>
    <w:p w14:paraId="076AC3C3" w14:textId="77777777" w:rsidR="00F53F2A" w:rsidRDefault="00F53F2A" w:rsidP="00F53F2A">
      <w:pPr>
        <w:numPr>
          <w:ilvl w:val="0"/>
          <w:numId w:val="1"/>
        </w:numPr>
        <w:spacing w:before="100" w:beforeAutospacing="1" w:after="100" w:afterAutospacing="1"/>
        <w:textAlignment w:val="baseline"/>
        <w:rPr>
          <w:rFonts w:ascii="Calibri" w:eastAsia="Times New Roman" w:hAnsi="Calibri" w:cs="Calibri"/>
          <w:i/>
          <w:iCs/>
          <w:color w:val="000000"/>
          <w:sz w:val="24"/>
          <w:szCs w:val="24"/>
        </w:rPr>
      </w:pPr>
    </w:p>
    <w:p w14:paraId="25E4BC80" w14:textId="77777777" w:rsidR="00F53F2A" w:rsidRDefault="00F53F2A" w:rsidP="00F53F2A">
      <w:pPr>
        <w:numPr>
          <w:ilvl w:val="0"/>
          <w:numId w:val="1"/>
        </w:numPr>
        <w:spacing w:before="100" w:beforeAutospacing="1" w:after="100" w:afterAutospacing="1"/>
        <w:textAlignment w:val="baseline"/>
        <w:rPr>
          <w:rFonts w:eastAsia="Times New Roman"/>
          <w:i/>
          <w:iCs/>
          <w:color w:val="000000"/>
          <w:sz w:val="24"/>
          <w:szCs w:val="24"/>
        </w:rPr>
      </w:pPr>
    </w:p>
    <w:p w14:paraId="532037DE"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p>
    <w:p w14:paraId="160C106D"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Khan O.F and </w:t>
      </w:r>
      <w:proofErr w:type="spellStart"/>
      <w:r>
        <w:rPr>
          <w:rFonts w:ascii="Times New Roman" w:eastAsia="Times New Roman" w:hAnsi="Times New Roman" w:cs="Times New Roman"/>
          <w:color w:val="000000"/>
          <w:sz w:val="24"/>
          <w:szCs w:val="24"/>
        </w:rPr>
        <w:t>Monzon</w:t>
      </w:r>
      <w:proofErr w:type="spellEnd"/>
      <w:r>
        <w:rPr>
          <w:rFonts w:ascii="Times New Roman" w:eastAsia="Times New Roman" w:hAnsi="Times New Roman" w:cs="Times New Roman"/>
          <w:color w:val="000000"/>
          <w:sz w:val="24"/>
          <w:szCs w:val="24"/>
        </w:rPr>
        <w:t>  J.</w:t>
      </w:r>
    </w:p>
    <w:p w14:paraId="67DED1BA"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(2020) Diagnosis, monitoring, and management of adverse events from immune checkpoint inhibitor therapy.</w:t>
      </w:r>
    </w:p>
    <w:p w14:paraId="6A20CC3F"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oncology</w:t>
      </w:r>
    </w:p>
    <w:p w14:paraId="07487A83"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rPr>
        <w:t>27(</w:t>
      </w:r>
      <w:proofErr w:type="spellStart"/>
      <w:r>
        <w:rPr>
          <w:rFonts w:ascii="Times New Roman" w:eastAsia="Times New Roman" w:hAnsi="Times New Roman" w:cs="Times New Roman"/>
          <w:color w:val="212121"/>
          <w:sz w:val="24"/>
          <w:szCs w:val="24"/>
        </w:rPr>
        <w:t>Suppl</w:t>
      </w:r>
      <w:proofErr w:type="spellEnd"/>
      <w:r>
        <w:rPr>
          <w:rFonts w:ascii="Times New Roman" w:eastAsia="Times New Roman" w:hAnsi="Times New Roman" w:cs="Times New Roman"/>
          <w:color w:val="212121"/>
          <w:sz w:val="24"/>
          <w:szCs w:val="24"/>
        </w:rPr>
        <w:t xml:space="preserve"> 2): S43–S50.</w:t>
      </w:r>
    </w:p>
    <w:p w14:paraId="02909D1B"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lastRenderedPageBreak/>
        <w:t xml:space="preserve"> Available at </w:t>
      </w:r>
      <w:hyperlink r:id="rId16" w:history="1">
        <w:r>
          <w:rPr>
            <w:rStyle w:val="Hyperlink"/>
            <w:rFonts w:ascii="Times New Roman" w:eastAsia="Times New Roman" w:hAnsi="Times New Roman" w:cs="Times New Roman"/>
            <w:i/>
            <w:iCs/>
            <w:sz w:val="24"/>
            <w:szCs w:val="24"/>
          </w:rPr>
          <w:t>https://www.ncbi.nlm.nih.gov/pmc/articles/PMC7194002/</w:t>
        </w:r>
      </w:hyperlink>
      <w:r>
        <w:rPr>
          <w:rFonts w:ascii="Times New Roman" w:eastAsia="Times New Roman" w:hAnsi="Times New Roman" w:cs="Times New Roman"/>
          <w:i/>
          <w:iCs/>
          <w:color w:val="000000"/>
          <w:sz w:val="24"/>
          <w:szCs w:val="24"/>
        </w:rPr>
        <w:t> </w:t>
      </w:r>
    </w:p>
    <w:p w14:paraId="00E7BA0D" w14:textId="77777777" w:rsidR="00F53F2A" w:rsidRDefault="00F53F2A" w:rsidP="00F53F2A">
      <w:pPr>
        <w:numPr>
          <w:ilvl w:val="0"/>
          <w:numId w:val="1"/>
        </w:numPr>
        <w:spacing w:before="100" w:beforeAutospacing="1" w:after="100" w:afterAutospacing="1"/>
        <w:textAlignment w:val="baseline"/>
        <w:rPr>
          <w:rFonts w:ascii="Calibri" w:eastAsia="Times New Roman" w:hAnsi="Calibri" w:cs="Calibri"/>
          <w:i/>
          <w:iCs/>
          <w:color w:val="000000"/>
          <w:sz w:val="24"/>
          <w:szCs w:val="24"/>
        </w:rPr>
      </w:pPr>
    </w:p>
    <w:p w14:paraId="54D942C4" w14:textId="77777777" w:rsidR="00F53F2A" w:rsidRDefault="00F53F2A" w:rsidP="00F53F2A">
      <w:pPr>
        <w:numPr>
          <w:ilvl w:val="0"/>
          <w:numId w:val="1"/>
        </w:numPr>
        <w:spacing w:before="100" w:beforeAutospacing="1" w:after="100" w:afterAutospacing="1"/>
        <w:textAlignment w:val="baseline"/>
        <w:rPr>
          <w:rFonts w:eastAsia="Times New Roman"/>
          <w:i/>
          <w:iCs/>
          <w:color w:val="000000"/>
          <w:sz w:val="24"/>
          <w:szCs w:val="24"/>
        </w:rPr>
      </w:pPr>
    </w:p>
    <w:p w14:paraId="2DE332F6"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p>
    <w:p w14:paraId="0026E555"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Spain L., Yousaf  N. And Hunter N. (2017)</w:t>
      </w:r>
    </w:p>
    <w:p w14:paraId="6F3898CF"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Immune Checkpoint Inhibitor (</w:t>
      </w:r>
      <w:proofErr w:type="spellStart"/>
      <w:r>
        <w:rPr>
          <w:rFonts w:ascii="Times New Roman" w:eastAsia="Times New Roman" w:hAnsi="Times New Roman" w:cs="Times New Roman"/>
          <w:i/>
          <w:iCs/>
          <w:color w:val="000000"/>
          <w:sz w:val="24"/>
          <w:szCs w:val="24"/>
        </w:rPr>
        <w:t>Icpi</w:t>
      </w:r>
      <w:proofErr w:type="spellEnd"/>
      <w:r>
        <w:rPr>
          <w:rFonts w:ascii="Times New Roman" w:eastAsia="Times New Roman" w:hAnsi="Times New Roman" w:cs="Times New Roman"/>
          <w:i/>
          <w:iCs/>
          <w:color w:val="000000"/>
          <w:sz w:val="24"/>
          <w:szCs w:val="24"/>
        </w:rPr>
        <w:t>)-related Toxicity: Supportive Management Of Patients</w:t>
      </w:r>
    </w:p>
    <w:p w14:paraId="694B4079"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On High Dose Steroids </w:t>
      </w:r>
      <w:r>
        <w:rPr>
          <w:rFonts w:ascii="Times New Roman" w:eastAsia="Times New Roman" w:hAnsi="Times New Roman" w:cs="Times New Roman"/>
          <w:color w:val="000000"/>
          <w:sz w:val="24"/>
          <w:szCs w:val="24"/>
        </w:rPr>
        <w:t xml:space="preserve">Available At </w:t>
      </w:r>
      <w:proofErr w:type="spellStart"/>
      <w:r>
        <w:rPr>
          <w:rFonts w:ascii="Times New Roman" w:eastAsia="Times New Roman" w:hAnsi="Times New Roman" w:cs="Times New Roman"/>
          <w:color w:val="000000"/>
          <w:sz w:val="24"/>
          <w:szCs w:val="24"/>
        </w:rPr>
        <w:t>Rmh</w:t>
      </w:r>
      <w:proofErr w:type="spellEnd"/>
      <w:r>
        <w:rPr>
          <w:rFonts w:ascii="Times New Roman" w:eastAsia="Times New Roman" w:hAnsi="Times New Roman" w:cs="Times New Roman"/>
          <w:color w:val="000000"/>
          <w:sz w:val="24"/>
          <w:szCs w:val="24"/>
        </w:rPr>
        <w:t xml:space="preserve"> Intranet</w:t>
      </w:r>
    </w:p>
    <w:p w14:paraId="06F5532D" w14:textId="77777777" w:rsidR="00F53F2A" w:rsidRDefault="00F53F2A" w:rsidP="00F53F2A">
      <w:pPr>
        <w:numPr>
          <w:ilvl w:val="0"/>
          <w:numId w:val="1"/>
        </w:numPr>
        <w:spacing w:before="100" w:beforeAutospacing="1" w:after="100" w:afterAutospacing="1"/>
        <w:textAlignment w:val="baseline"/>
        <w:rPr>
          <w:rFonts w:ascii="Calibri" w:eastAsia="Times New Roman" w:hAnsi="Calibri" w:cs="Calibri"/>
          <w:i/>
          <w:iCs/>
          <w:color w:val="000000"/>
          <w:sz w:val="24"/>
          <w:szCs w:val="24"/>
        </w:rPr>
      </w:pPr>
    </w:p>
    <w:p w14:paraId="0C84AA6F" w14:textId="77777777" w:rsidR="00F53F2A" w:rsidRDefault="00F53F2A" w:rsidP="00F53F2A">
      <w:pPr>
        <w:numPr>
          <w:ilvl w:val="0"/>
          <w:numId w:val="1"/>
        </w:numPr>
        <w:spacing w:before="100" w:beforeAutospacing="1" w:after="100" w:afterAutospacing="1"/>
        <w:textAlignment w:val="baseline"/>
        <w:rPr>
          <w:rFonts w:eastAsia="Times New Roman"/>
          <w:i/>
          <w:iCs/>
          <w:color w:val="000000"/>
          <w:sz w:val="24"/>
          <w:szCs w:val="24"/>
        </w:rPr>
      </w:pPr>
    </w:p>
    <w:p w14:paraId="588B29EE"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p>
    <w:p w14:paraId="6DD485D8"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Spain L., Yousaf  N., </w:t>
      </w:r>
      <w:proofErr w:type="spellStart"/>
      <w:r>
        <w:rPr>
          <w:rFonts w:ascii="Times New Roman" w:eastAsia="Times New Roman" w:hAnsi="Times New Roman" w:cs="Times New Roman"/>
          <w:color w:val="000000"/>
          <w:sz w:val="24"/>
          <w:szCs w:val="24"/>
        </w:rPr>
        <w:t>Turajilic</w:t>
      </w:r>
      <w:proofErr w:type="spellEnd"/>
      <w:r>
        <w:rPr>
          <w:rFonts w:ascii="Times New Roman" w:eastAsia="Times New Roman" w:hAnsi="Times New Roman" w:cs="Times New Roman"/>
          <w:color w:val="000000"/>
          <w:sz w:val="24"/>
          <w:szCs w:val="24"/>
        </w:rPr>
        <w:t xml:space="preserve"> S., Yousaf N., Larkin J., Powell N., Riley U.</w:t>
      </w:r>
    </w:p>
    <w:p w14:paraId="0D1FAF60"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And Chauhan D. (2019)</w:t>
      </w:r>
      <w:r>
        <w:rPr>
          <w:rFonts w:ascii="Times New Roman" w:eastAsia="Times New Roman" w:hAnsi="Times New Roman" w:cs="Times New Roman"/>
          <w:i/>
          <w:iCs/>
          <w:color w:val="000000"/>
          <w:sz w:val="24"/>
          <w:szCs w:val="24"/>
        </w:rPr>
        <w:t xml:space="preserve"> Immune Checkpoint Inhibitor (</w:t>
      </w:r>
      <w:proofErr w:type="spellStart"/>
      <w:r>
        <w:rPr>
          <w:rFonts w:ascii="Times New Roman" w:eastAsia="Times New Roman" w:hAnsi="Times New Roman" w:cs="Times New Roman"/>
          <w:i/>
          <w:iCs/>
          <w:color w:val="000000"/>
          <w:sz w:val="24"/>
          <w:szCs w:val="24"/>
        </w:rPr>
        <w:t>Icpi</w:t>
      </w:r>
      <w:proofErr w:type="spellEnd"/>
      <w:r>
        <w:rPr>
          <w:rFonts w:ascii="Times New Roman" w:eastAsia="Times New Roman" w:hAnsi="Times New Roman" w:cs="Times New Roman"/>
          <w:i/>
          <w:iCs/>
          <w:color w:val="000000"/>
          <w:sz w:val="24"/>
          <w:szCs w:val="24"/>
        </w:rPr>
        <w:t>)-related Toxicity: Management Of</w:t>
      </w:r>
    </w:p>
    <w:p w14:paraId="1397ABC0"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Diarrhoea &amp; Colitis </w:t>
      </w:r>
      <w:r>
        <w:rPr>
          <w:rFonts w:ascii="Times New Roman" w:eastAsia="Times New Roman" w:hAnsi="Times New Roman" w:cs="Times New Roman"/>
          <w:color w:val="000000"/>
          <w:sz w:val="24"/>
          <w:szCs w:val="24"/>
        </w:rPr>
        <w:t xml:space="preserve">Available At </w:t>
      </w:r>
      <w:proofErr w:type="spellStart"/>
      <w:r>
        <w:rPr>
          <w:rFonts w:ascii="Times New Roman" w:eastAsia="Times New Roman" w:hAnsi="Times New Roman" w:cs="Times New Roman"/>
          <w:color w:val="000000"/>
          <w:sz w:val="24"/>
          <w:szCs w:val="24"/>
        </w:rPr>
        <w:t>Rmh</w:t>
      </w:r>
      <w:proofErr w:type="spellEnd"/>
      <w:r>
        <w:rPr>
          <w:rFonts w:ascii="Times New Roman" w:eastAsia="Times New Roman" w:hAnsi="Times New Roman" w:cs="Times New Roman"/>
          <w:color w:val="000000"/>
          <w:sz w:val="24"/>
          <w:szCs w:val="24"/>
        </w:rPr>
        <w:t xml:space="preserve"> Intranet</w:t>
      </w:r>
    </w:p>
    <w:p w14:paraId="3CA4AF3B" w14:textId="77777777" w:rsidR="00F53F2A" w:rsidRDefault="00F53F2A" w:rsidP="00F53F2A">
      <w:pPr>
        <w:numPr>
          <w:ilvl w:val="0"/>
          <w:numId w:val="1"/>
        </w:numPr>
        <w:spacing w:before="100" w:beforeAutospacing="1" w:after="100" w:afterAutospacing="1"/>
        <w:textAlignment w:val="baseline"/>
        <w:rPr>
          <w:rFonts w:ascii="Calibri" w:eastAsia="Times New Roman" w:hAnsi="Calibri" w:cs="Calibri"/>
          <w:i/>
          <w:iCs/>
          <w:color w:val="000000"/>
          <w:sz w:val="24"/>
          <w:szCs w:val="24"/>
        </w:rPr>
      </w:pPr>
    </w:p>
    <w:p w14:paraId="14E3330B" w14:textId="77777777" w:rsidR="00F53F2A" w:rsidRDefault="00F53F2A" w:rsidP="00F53F2A">
      <w:pPr>
        <w:numPr>
          <w:ilvl w:val="0"/>
          <w:numId w:val="1"/>
        </w:numPr>
        <w:spacing w:before="100" w:beforeAutospacing="1" w:after="100" w:afterAutospacing="1"/>
        <w:textAlignment w:val="baseline"/>
        <w:rPr>
          <w:rFonts w:eastAsia="Times New Roman"/>
          <w:i/>
          <w:iCs/>
          <w:color w:val="000000"/>
          <w:sz w:val="24"/>
          <w:szCs w:val="24"/>
        </w:rPr>
      </w:pPr>
    </w:p>
    <w:p w14:paraId="6B29E0D8"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p>
    <w:p w14:paraId="40A3B2FC" w14:textId="77777777" w:rsidR="00F53F2A" w:rsidRDefault="00F53F2A" w:rsidP="00F53F2A">
      <w:pPr>
        <w:numPr>
          <w:ilvl w:val="0"/>
          <w:numId w:val="1"/>
        </w:numPr>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U.S.  Department of Health and Human services (2017)</w:t>
      </w:r>
    </w:p>
    <w:p w14:paraId="63163267" w14:textId="77777777" w:rsidR="00F53F2A" w:rsidRDefault="00F53F2A" w:rsidP="00F53F2A">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Common Terminology Criteria for Adverse Events (CTCAE) Version 5.0 </w:t>
      </w:r>
      <w:r>
        <w:rPr>
          <w:rFonts w:ascii="Times New Roman" w:eastAsia="Times New Roman" w:hAnsi="Times New Roman" w:cs="Times New Roman"/>
          <w:color w:val="000000"/>
          <w:sz w:val="24"/>
          <w:szCs w:val="24"/>
        </w:rPr>
        <w:t>available</w:t>
      </w:r>
    </w:p>
    <w:p w14:paraId="659896D9" w14:textId="77777777" w:rsidR="00F53F2A" w:rsidRDefault="00F53F2A" w:rsidP="00F53F2A">
      <w:pPr>
        <w:numPr>
          <w:ilvl w:val="0"/>
          <w:numId w:val="1"/>
        </w:numPr>
        <w:textAlignment w:val="baseline"/>
        <w:rPr>
          <w:rStyle w:val="Hyperlink"/>
          <w:color w:val="000000"/>
        </w:rPr>
      </w:pPr>
      <w:r>
        <w:rPr>
          <w:rFonts w:ascii="Times New Roman" w:eastAsia="Times New Roman" w:hAnsi="Times New Roman" w:cs="Times New Roman"/>
          <w:color w:val="000000"/>
          <w:sz w:val="24"/>
          <w:szCs w:val="24"/>
        </w:rPr>
        <w:t xml:space="preserve"> at </w:t>
      </w:r>
      <w:hyperlink r:id="rId17" w:history="1">
        <w:r>
          <w:rPr>
            <w:rStyle w:val="Hyperlink"/>
            <w:rFonts w:ascii="Times New Roman" w:eastAsia="Times New Roman" w:hAnsi="Times New Roman" w:cs="Times New Roman"/>
            <w:color w:val="000000"/>
            <w:sz w:val="24"/>
            <w:szCs w:val="24"/>
          </w:rPr>
          <w:t>Common</w:t>
        </w:r>
      </w:hyperlink>
    </w:p>
    <w:p w14:paraId="29DFDF38" w14:textId="77777777" w:rsidR="00F53F2A" w:rsidRDefault="00F53F2A" w:rsidP="00F53F2A">
      <w:pPr>
        <w:numPr>
          <w:ilvl w:val="0"/>
          <w:numId w:val="1"/>
        </w:numPr>
        <w:textAlignment w:val="baseline"/>
        <w:rPr>
          <w:i/>
          <w:iCs/>
        </w:rPr>
      </w:pPr>
      <w:hyperlink r:id="rId18" w:history="1">
        <w:r>
          <w:rPr>
            <w:rStyle w:val="Hyperlink"/>
            <w:rFonts w:ascii="Times New Roman" w:eastAsia="Times New Roman" w:hAnsi="Times New Roman" w:cs="Times New Roman"/>
            <w:color w:val="000000"/>
            <w:sz w:val="24"/>
            <w:szCs w:val="24"/>
          </w:rPr>
          <w:t xml:space="preserve"> Terminology Criteria for Adverse Events (CTCAE) (cancer.gov)</w:t>
        </w:r>
      </w:hyperlink>
    </w:p>
    <w:p w14:paraId="0C833FC3" w14:textId="77777777" w:rsidR="00F53F2A" w:rsidRDefault="00F53F2A" w:rsidP="00F53F2A">
      <w:pPr>
        <w:numPr>
          <w:ilvl w:val="0"/>
          <w:numId w:val="1"/>
        </w:numPr>
        <w:spacing w:before="100" w:beforeAutospacing="1" w:after="100" w:afterAutospacing="1"/>
        <w:textAlignment w:val="baseline"/>
        <w:rPr>
          <w:rFonts w:ascii="Calibri" w:eastAsia="Times New Roman" w:hAnsi="Calibri" w:cs="Calibri"/>
          <w:i/>
          <w:iCs/>
          <w:color w:val="000000"/>
          <w:sz w:val="24"/>
          <w:szCs w:val="24"/>
        </w:rPr>
      </w:pPr>
    </w:p>
    <w:p w14:paraId="2231DC35" w14:textId="77777777" w:rsidR="00F53F2A" w:rsidRDefault="00F53F2A" w:rsidP="00F53F2A">
      <w:pPr>
        <w:numPr>
          <w:ilvl w:val="0"/>
          <w:numId w:val="1"/>
        </w:numPr>
        <w:spacing w:before="100" w:beforeAutospacing="1" w:after="100" w:afterAutospacing="1"/>
        <w:textAlignment w:val="baseline"/>
        <w:rPr>
          <w:rFonts w:eastAsia="Times New Roman"/>
          <w:i/>
          <w:iCs/>
          <w:color w:val="000000"/>
          <w:sz w:val="24"/>
          <w:szCs w:val="24"/>
        </w:rPr>
      </w:pPr>
    </w:p>
    <w:p w14:paraId="6DD991DA" w14:textId="77777777" w:rsidR="00F53F2A" w:rsidRDefault="00F53F2A" w:rsidP="00F53F2A">
      <w:pPr>
        <w:numPr>
          <w:ilvl w:val="0"/>
          <w:numId w:val="1"/>
        </w:numPr>
        <w:spacing w:after="200"/>
        <w:textAlignment w:val="baseline"/>
        <w:rPr>
          <w:rFonts w:ascii="Times New Roman" w:eastAsia="Times New Roman" w:hAnsi="Times New Roman" w:cs="Times New Roman"/>
          <w:i/>
          <w:iCs/>
          <w:color w:val="000000"/>
          <w:sz w:val="24"/>
          <w:szCs w:val="24"/>
        </w:rPr>
      </w:pPr>
    </w:p>
    <w:p w14:paraId="4EBD45AA" w14:textId="77777777" w:rsidR="00F53F2A" w:rsidRDefault="00F53F2A" w:rsidP="00F53F2A">
      <w:pPr>
        <w:numPr>
          <w:ilvl w:val="0"/>
          <w:numId w:val="1"/>
        </w:numPr>
        <w:spacing w:after="200"/>
        <w:textAlignment w:val="baseline"/>
        <w:rPr>
          <w:rFonts w:ascii="Times New Roman" w:eastAsia="Times New Roman" w:hAnsi="Times New Roman" w:cs="Times New Roman"/>
          <w:color w:val="000000"/>
          <w:sz w:val="24"/>
          <w:szCs w:val="24"/>
        </w:rPr>
      </w:pPr>
      <w:hyperlink r:id="rId19" w:history="1">
        <w:proofErr w:type="spellStart"/>
        <w:r>
          <w:rPr>
            <w:rStyle w:val="Hyperlink"/>
            <w:rFonts w:ascii="Times New Roman" w:eastAsia="Times New Roman" w:hAnsi="Times New Roman" w:cs="Times New Roman"/>
            <w:color w:val="000000"/>
            <w:sz w:val="24"/>
            <w:szCs w:val="24"/>
          </w:rPr>
          <w:t>Wojtukiewicz</w:t>
        </w:r>
        <w:proofErr w:type="spellEnd"/>
      </w:hyperlink>
    </w:p>
    <w:p w14:paraId="4E267322" w14:textId="77777777" w:rsidR="00F53F2A" w:rsidRDefault="00F53F2A" w:rsidP="00F53F2A">
      <w:pPr>
        <w:numPr>
          <w:ilvl w:val="0"/>
          <w:numId w:val="1"/>
        </w:numPr>
        <w:spacing w:after="200"/>
        <w:textAlignment w:val="baseline"/>
        <w:rPr>
          <w:rStyle w:val="Hyperlink"/>
          <w:color w:val="000000"/>
        </w:rPr>
      </w:pPr>
      <w:r>
        <w:rPr>
          <w:rFonts w:ascii="Times New Roman" w:eastAsia="Times New Roman" w:hAnsi="Times New Roman" w:cs="Times New Roman"/>
          <w:color w:val="000000"/>
          <w:sz w:val="24"/>
          <w:szCs w:val="24"/>
        </w:rPr>
        <w:t xml:space="preserve"> M.Z.,</w:t>
      </w:r>
    </w:p>
    <w:p w14:paraId="341BBA2A" w14:textId="77777777" w:rsidR="00F53F2A" w:rsidRDefault="00F53F2A" w:rsidP="00F53F2A">
      <w:pPr>
        <w:numPr>
          <w:ilvl w:val="0"/>
          <w:numId w:val="1"/>
        </w:numPr>
        <w:spacing w:after="200"/>
        <w:textAlignment w:val="baseline"/>
      </w:pPr>
      <w:hyperlink r:id="rId20" w:history="1">
        <w:r>
          <w:rPr>
            <w:rStyle w:val="Hyperlink"/>
            <w:rFonts w:ascii="Times New Roman" w:eastAsia="Times New Roman" w:hAnsi="Times New Roman" w:cs="Times New Roman"/>
            <w:color w:val="000000"/>
            <w:sz w:val="24"/>
            <w:szCs w:val="24"/>
          </w:rPr>
          <w:t xml:space="preserve"> </w:t>
        </w:r>
        <w:proofErr w:type="spellStart"/>
        <w:r>
          <w:rPr>
            <w:rStyle w:val="Hyperlink"/>
            <w:rFonts w:ascii="Times New Roman" w:eastAsia="Times New Roman" w:hAnsi="Times New Roman" w:cs="Times New Roman"/>
            <w:color w:val="000000"/>
            <w:sz w:val="24"/>
            <w:szCs w:val="24"/>
          </w:rPr>
          <w:t>Rek</w:t>
        </w:r>
        <w:proofErr w:type="spellEnd"/>
      </w:hyperlink>
      <w:r>
        <w:rPr>
          <w:rFonts w:ascii="Times New Roman" w:eastAsia="Times New Roman" w:hAnsi="Times New Roman" w:cs="Times New Roman"/>
          <w:color w:val="000000"/>
          <w:sz w:val="24"/>
          <w:szCs w:val="24"/>
        </w:rPr>
        <w:t xml:space="preserve"> M.M.,</w:t>
      </w:r>
      <w:proofErr w:type="spellStart"/>
      <w:r>
        <w:rPr>
          <w:rFonts w:ascii="Times New Roman" w:eastAsia="Times New Roman" w:hAnsi="Times New Roman" w:cs="Times New Roman"/>
          <w:i/>
          <w:iCs/>
          <w:color w:val="000000"/>
          <w:sz w:val="24"/>
          <w:szCs w:val="24"/>
        </w:rPr>
        <w:fldChar w:fldCharType="begin"/>
      </w:r>
      <w:r>
        <w:rPr>
          <w:rFonts w:ascii="Times New Roman" w:eastAsia="Times New Roman" w:hAnsi="Times New Roman" w:cs="Times New Roman"/>
          <w:i/>
          <w:iCs/>
          <w:color w:val="000000"/>
          <w:sz w:val="24"/>
          <w:szCs w:val="24"/>
        </w:rPr>
        <w:instrText xml:space="preserve"> HYPERLINK "https://pubmed.ncbi.nlm.nih.gov/?term=Karpowicz%20K%5BAuthor%5D" </w:instrText>
      </w:r>
      <w:r>
        <w:rPr>
          <w:rFonts w:ascii="Times New Roman" w:eastAsia="Times New Roman" w:hAnsi="Times New Roman" w:cs="Times New Roman"/>
          <w:i/>
          <w:iCs/>
          <w:color w:val="000000"/>
          <w:sz w:val="24"/>
          <w:szCs w:val="24"/>
        </w:rPr>
        <w:fldChar w:fldCharType="separate"/>
      </w:r>
      <w:r>
        <w:rPr>
          <w:rStyle w:val="Hyperlink"/>
          <w:rFonts w:ascii="Times New Roman" w:eastAsia="Times New Roman" w:hAnsi="Times New Roman" w:cs="Times New Roman"/>
          <w:color w:val="000000"/>
          <w:sz w:val="24"/>
          <w:szCs w:val="24"/>
        </w:rPr>
        <w:t>Karpowicz</w:t>
      </w:r>
      <w:proofErr w:type="spellEnd"/>
      <w:r>
        <w:rPr>
          <w:rFonts w:ascii="Times New Roman" w:eastAsia="Times New Roman" w:hAnsi="Times New Roman" w:cs="Times New Roman"/>
          <w:i/>
          <w:iCs/>
          <w:color w:val="000000"/>
          <w:sz w:val="24"/>
          <w:szCs w:val="24"/>
        </w:rPr>
        <w:fldChar w:fldCharType="end"/>
      </w:r>
    </w:p>
    <w:p w14:paraId="26C1BCCB" w14:textId="77777777" w:rsidR="00F53F2A" w:rsidRDefault="00F53F2A" w:rsidP="00F53F2A">
      <w:pPr>
        <w:numPr>
          <w:ilvl w:val="0"/>
          <w:numId w:val="1"/>
        </w:numPr>
        <w:spacing w:after="200"/>
        <w:textAlignment w:val="baseline"/>
        <w:rPr>
          <w:rStyle w:val="Hyperlink"/>
          <w:color w:val="000000"/>
        </w:rPr>
      </w:pPr>
      <w:r>
        <w:rPr>
          <w:rFonts w:ascii="Times New Roman" w:eastAsia="Times New Roman" w:hAnsi="Times New Roman" w:cs="Times New Roman"/>
          <w:color w:val="000000"/>
          <w:sz w:val="24"/>
          <w:szCs w:val="24"/>
        </w:rPr>
        <w:t xml:space="preserve"> K.,</w:t>
      </w:r>
    </w:p>
    <w:p w14:paraId="717481EC" w14:textId="77777777" w:rsidR="00F53F2A" w:rsidRDefault="00F53F2A" w:rsidP="00F53F2A">
      <w:pPr>
        <w:numPr>
          <w:ilvl w:val="0"/>
          <w:numId w:val="1"/>
        </w:numPr>
        <w:spacing w:after="200"/>
        <w:textAlignment w:val="baseline"/>
      </w:pPr>
      <w:hyperlink r:id="rId21" w:history="1">
        <w:r>
          <w:rPr>
            <w:rStyle w:val="Hyperlink"/>
            <w:rFonts w:ascii="Times New Roman" w:eastAsia="Times New Roman" w:hAnsi="Times New Roman" w:cs="Times New Roman"/>
            <w:color w:val="000000"/>
            <w:sz w:val="24"/>
            <w:szCs w:val="24"/>
          </w:rPr>
          <w:t xml:space="preserve"> </w:t>
        </w:r>
        <w:proofErr w:type="spellStart"/>
        <w:r>
          <w:rPr>
            <w:rStyle w:val="Hyperlink"/>
            <w:rFonts w:ascii="Times New Roman" w:eastAsia="Times New Roman" w:hAnsi="Times New Roman" w:cs="Times New Roman"/>
            <w:color w:val="000000"/>
            <w:sz w:val="24"/>
            <w:szCs w:val="24"/>
          </w:rPr>
          <w:t>Górska</w:t>
        </w:r>
        <w:proofErr w:type="spellEnd"/>
      </w:hyperlink>
      <w:r>
        <w:rPr>
          <w:rFonts w:ascii="Times New Roman" w:eastAsia="Times New Roman" w:hAnsi="Times New Roman" w:cs="Times New Roman"/>
          <w:color w:val="000000"/>
          <w:sz w:val="24"/>
          <w:szCs w:val="24"/>
        </w:rPr>
        <w:t xml:space="preserve"> M.,</w:t>
      </w:r>
      <w:proofErr w:type="spellStart"/>
      <w:r>
        <w:rPr>
          <w:rFonts w:ascii="Times New Roman" w:eastAsia="Times New Roman" w:hAnsi="Times New Roman" w:cs="Times New Roman"/>
          <w:i/>
          <w:iCs/>
          <w:color w:val="000000"/>
          <w:sz w:val="24"/>
          <w:szCs w:val="24"/>
        </w:rPr>
        <w:fldChar w:fldCharType="begin"/>
      </w:r>
      <w:r>
        <w:rPr>
          <w:rFonts w:ascii="Times New Roman" w:eastAsia="Times New Roman" w:hAnsi="Times New Roman" w:cs="Times New Roman"/>
          <w:i/>
          <w:iCs/>
          <w:color w:val="000000"/>
          <w:sz w:val="24"/>
          <w:szCs w:val="24"/>
        </w:rPr>
        <w:instrText xml:space="preserve"> HYPERLINK "https://pubmed.ncbi.nlm.nih.gov/?term=Polity%C5%84ska%20B%5BAuthor%5D" </w:instrText>
      </w:r>
      <w:r>
        <w:rPr>
          <w:rFonts w:ascii="Times New Roman" w:eastAsia="Times New Roman" w:hAnsi="Times New Roman" w:cs="Times New Roman"/>
          <w:i/>
          <w:iCs/>
          <w:color w:val="000000"/>
          <w:sz w:val="24"/>
          <w:szCs w:val="24"/>
        </w:rPr>
        <w:fldChar w:fldCharType="separate"/>
      </w:r>
      <w:r>
        <w:rPr>
          <w:rStyle w:val="Hyperlink"/>
          <w:rFonts w:ascii="Times New Roman" w:eastAsia="Times New Roman" w:hAnsi="Times New Roman" w:cs="Times New Roman"/>
          <w:color w:val="000000"/>
          <w:sz w:val="24"/>
          <w:szCs w:val="24"/>
        </w:rPr>
        <w:t>Polityńska</w:t>
      </w:r>
      <w:proofErr w:type="spellEnd"/>
      <w:r>
        <w:rPr>
          <w:rFonts w:ascii="Times New Roman" w:eastAsia="Times New Roman" w:hAnsi="Times New Roman" w:cs="Times New Roman"/>
          <w:i/>
          <w:iCs/>
          <w:color w:val="000000"/>
          <w:sz w:val="24"/>
          <w:szCs w:val="24"/>
        </w:rPr>
        <w:fldChar w:fldCharType="end"/>
      </w:r>
    </w:p>
    <w:p w14:paraId="1DA93432" w14:textId="77777777" w:rsidR="00F53F2A" w:rsidRDefault="00F53F2A" w:rsidP="00F53F2A">
      <w:pPr>
        <w:numPr>
          <w:ilvl w:val="0"/>
          <w:numId w:val="1"/>
        </w:numPr>
        <w:spacing w:after="2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w:t>
      </w:r>
      <w:proofErr w:type="spellStart"/>
      <w:r>
        <w:rPr>
          <w:rFonts w:ascii="Times New Roman" w:eastAsia="Times New Roman" w:hAnsi="Times New Roman" w:cs="Times New Roman"/>
          <w:i/>
          <w:iCs/>
          <w:color w:val="000000"/>
          <w:sz w:val="24"/>
          <w:szCs w:val="24"/>
        </w:rPr>
        <w:fldChar w:fldCharType="begin"/>
      </w:r>
      <w:r>
        <w:rPr>
          <w:rFonts w:ascii="Times New Roman" w:eastAsia="Times New Roman" w:hAnsi="Times New Roman" w:cs="Times New Roman"/>
          <w:i/>
          <w:iCs/>
          <w:color w:val="000000"/>
          <w:sz w:val="24"/>
          <w:szCs w:val="24"/>
        </w:rPr>
        <w:instrText xml:space="preserve"> HYPERLINK "https://pubmed.ncbi.nlm.nih.gov/?term=Wojtukiewicz%20AM%5BAuthor%5D" </w:instrText>
      </w:r>
      <w:r>
        <w:rPr>
          <w:rFonts w:ascii="Times New Roman" w:eastAsia="Times New Roman" w:hAnsi="Times New Roman" w:cs="Times New Roman"/>
          <w:i/>
          <w:iCs/>
          <w:color w:val="000000"/>
          <w:sz w:val="24"/>
          <w:szCs w:val="24"/>
        </w:rPr>
        <w:fldChar w:fldCharType="separate"/>
      </w:r>
      <w:r>
        <w:rPr>
          <w:rStyle w:val="Hyperlink"/>
          <w:rFonts w:ascii="Times New Roman" w:eastAsia="Times New Roman" w:hAnsi="Times New Roman" w:cs="Times New Roman"/>
          <w:color w:val="000000"/>
          <w:sz w:val="24"/>
          <w:szCs w:val="24"/>
        </w:rPr>
        <w:t>Wojtukiewicz</w:t>
      </w:r>
      <w:proofErr w:type="spellEnd"/>
      <w:r>
        <w:rPr>
          <w:rFonts w:ascii="Times New Roman" w:eastAsia="Times New Roman" w:hAnsi="Times New Roman" w:cs="Times New Roman"/>
          <w:i/>
          <w:iCs/>
          <w:color w:val="000000"/>
          <w:sz w:val="24"/>
          <w:szCs w:val="24"/>
        </w:rPr>
        <w:fldChar w:fldCharType="end"/>
      </w:r>
    </w:p>
    <w:p w14:paraId="7F442692" w14:textId="77777777" w:rsidR="00F53F2A" w:rsidRDefault="00F53F2A" w:rsidP="00F53F2A">
      <w:pPr>
        <w:numPr>
          <w:ilvl w:val="0"/>
          <w:numId w:val="1"/>
        </w:numPr>
        <w:spacing w:after="2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w:t>
      </w:r>
      <w:hyperlink r:id="rId22" w:history="1">
        <w:r>
          <w:rPr>
            <w:rStyle w:val="Hyperlink"/>
            <w:rFonts w:ascii="Times New Roman" w:eastAsia="Times New Roman" w:hAnsi="Times New Roman" w:cs="Times New Roman"/>
            <w:color w:val="000000"/>
            <w:sz w:val="24"/>
            <w:szCs w:val="24"/>
          </w:rPr>
          <w:t>Moniuszko</w:t>
        </w:r>
        <w:proofErr w:type="spellEnd"/>
      </w:hyperlink>
    </w:p>
    <w:p w14:paraId="7488A905" w14:textId="77777777" w:rsidR="00F53F2A" w:rsidRDefault="00F53F2A" w:rsidP="00F53F2A">
      <w:pPr>
        <w:numPr>
          <w:ilvl w:val="0"/>
          <w:numId w:val="1"/>
        </w:numPr>
        <w:spacing w:after="2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 </w:t>
      </w:r>
      <w:hyperlink r:id="rId23" w:history="1">
        <w:proofErr w:type="spellStart"/>
        <w:r>
          <w:rPr>
            <w:rStyle w:val="Hyperlink"/>
            <w:rFonts w:ascii="Times New Roman" w:eastAsia="Times New Roman" w:hAnsi="Times New Roman" w:cs="Times New Roman"/>
            <w:color w:val="000000"/>
            <w:sz w:val="24"/>
            <w:szCs w:val="24"/>
          </w:rPr>
          <w:t>Radziwon</w:t>
        </w:r>
        <w:proofErr w:type="spellEnd"/>
      </w:hyperlink>
    </w:p>
    <w:p w14:paraId="39C919EE" w14:textId="77777777" w:rsidR="00F53F2A" w:rsidRDefault="00F53F2A" w:rsidP="00F53F2A">
      <w:pPr>
        <w:numPr>
          <w:ilvl w:val="0"/>
          <w:numId w:val="1"/>
        </w:numPr>
        <w:spacing w:after="2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roofErr w:type="spellStart"/>
      <w:r>
        <w:rPr>
          <w:rFonts w:ascii="Times New Roman" w:eastAsia="Times New Roman" w:hAnsi="Times New Roman" w:cs="Times New Roman"/>
          <w:color w:val="000000"/>
          <w:sz w:val="24"/>
          <w:szCs w:val="24"/>
        </w:rPr>
        <w:t>P.,</w:t>
      </w:r>
      <w:hyperlink r:id="rId24" w:history="1">
        <w:r>
          <w:rPr>
            <w:rStyle w:val="Hyperlink"/>
            <w:rFonts w:ascii="Times New Roman" w:eastAsia="Times New Roman" w:hAnsi="Times New Roman" w:cs="Times New Roman"/>
            <w:color w:val="000000"/>
            <w:sz w:val="24"/>
            <w:szCs w:val="24"/>
          </w:rPr>
          <w:t>Tucker</w:t>
        </w:r>
        <w:proofErr w:type="spellEnd"/>
      </w:hyperlink>
    </w:p>
    <w:p w14:paraId="72F495B3" w14:textId="77777777" w:rsidR="00F53F2A" w:rsidRDefault="00F53F2A" w:rsidP="00F53F2A">
      <w:pPr>
        <w:numPr>
          <w:ilvl w:val="0"/>
          <w:numId w:val="1"/>
        </w:numPr>
        <w:spacing w:after="2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S.T.,and</w:t>
      </w:r>
      <w:proofErr w:type="spellEnd"/>
      <w:r>
        <w:rPr>
          <w:rFonts w:ascii="Times New Roman" w:eastAsia="Times New Roman" w:hAnsi="Times New Roman" w:cs="Times New Roman"/>
          <w:color w:val="000000"/>
          <w:sz w:val="24"/>
          <w:szCs w:val="24"/>
        </w:rPr>
        <w:t xml:space="preserve"> </w:t>
      </w:r>
      <w:hyperlink r:id="rId25" w:history="1">
        <w:proofErr w:type="spellStart"/>
        <w:r>
          <w:rPr>
            <w:rStyle w:val="Hyperlink"/>
            <w:rFonts w:ascii="Times New Roman" w:eastAsia="Times New Roman" w:hAnsi="Times New Roman" w:cs="Times New Roman"/>
            <w:color w:val="000000"/>
            <w:sz w:val="24"/>
            <w:szCs w:val="24"/>
          </w:rPr>
          <w:t>Honn</w:t>
        </w:r>
        <w:proofErr w:type="spellEnd"/>
      </w:hyperlink>
    </w:p>
    <w:p w14:paraId="2C1FF6DB" w14:textId="77777777" w:rsidR="00F53F2A" w:rsidRDefault="00F53F2A" w:rsidP="00F53F2A">
      <w:pPr>
        <w:numPr>
          <w:ilvl w:val="0"/>
          <w:numId w:val="1"/>
        </w:numPr>
        <w:spacing w:after="200"/>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K.V. (2021) </w:t>
      </w:r>
      <w:r>
        <w:rPr>
          <w:rFonts w:ascii="Times New Roman" w:eastAsia="Times New Roman" w:hAnsi="Times New Roman" w:cs="Times New Roman"/>
          <w:i/>
          <w:iCs/>
          <w:color w:val="000000"/>
          <w:sz w:val="24"/>
          <w:szCs w:val="24"/>
        </w:rPr>
        <w:t>Inhibitors of immune checkpoints—PD-1, PD-L1, CTLA-4—new opportunities for cancer patients and a new challenge</w:t>
      </w:r>
    </w:p>
    <w:p w14:paraId="614DE8BA" w14:textId="77777777" w:rsidR="00F53F2A" w:rsidRDefault="00F53F2A" w:rsidP="00F53F2A">
      <w:pPr>
        <w:numPr>
          <w:ilvl w:val="0"/>
          <w:numId w:val="1"/>
        </w:numPr>
        <w:spacing w:after="2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for internists and general practitioners.</w:t>
      </w:r>
      <w:r>
        <w:rPr>
          <w:rFonts w:ascii="Times New Roman" w:eastAsia="Times New Roman" w:hAnsi="Times New Roman" w:cs="Times New Roman"/>
          <w:color w:val="000000"/>
          <w:sz w:val="24"/>
          <w:szCs w:val="24"/>
        </w:rPr>
        <w:t xml:space="preserve"> Cancer metastasis Rev.  40(3): 949–982. Available at </w:t>
      </w:r>
    </w:p>
    <w:p w14:paraId="04E6181E" w14:textId="77777777" w:rsidR="00F53F2A" w:rsidRDefault="00F53F2A" w:rsidP="00F53F2A">
      <w:pPr>
        <w:numPr>
          <w:ilvl w:val="0"/>
          <w:numId w:val="1"/>
        </w:numPr>
        <w:spacing w:after="200"/>
        <w:textAlignment w:val="baseline"/>
        <w:rPr>
          <w:rFonts w:ascii="Times New Roman" w:eastAsia="Times New Roman" w:hAnsi="Times New Roman" w:cs="Times New Roman"/>
          <w:i/>
          <w:iCs/>
          <w:color w:val="000000"/>
          <w:sz w:val="24"/>
          <w:szCs w:val="24"/>
        </w:rPr>
      </w:pPr>
      <w:hyperlink r:id="rId26" w:history="1">
        <w:r>
          <w:rPr>
            <w:rStyle w:val="Hyperlink"/>
            <w:rFonts w:ascii="Times New Roman" w:eastAsia="Times New Roman" w:hAnsi="Times New Roman" w:cs="Times New Roman"/>
            <w:sz w:val="24"/>
            <w:szCs w:val="24"/>
          </w:rPr>
          <w:t>https://www.ncbi.nlm.nih.gov/pmc/articles/PMC8556173/</w:t>
        </w:r>
      </w:hyperlink>
      <w:r>
        <w:rPr>
          <w:rFonts w:ascii="Times New Roman" w:eastAsia="Times New Roman" w:hAnsi="Times New Roman" w:cs="Times New Roman"/>
          <w:color w:val="000000"/>
          <w:sz w:val="24"/>
          <w:szCs w:val="24"/>
        </w:rPr>
        <w:t> </w:t>
      </w:r>
    </w:p>
    <w:p w14:paraId="49421886" w14:textId="77777777" w:rsidR="00F53F2A" w:rsidRDefault="00F53F2A"/>
    <w:sectPr w:rsidR="00F53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3F2"/>
    <w:multiLevelType w:val="multilevel"/>
    <w:tmpl w:val="D8C21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29622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2A"/>
    <w:rsid w:val="00E01BC5"/>
    <w:rsid w:val="00F53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43BB"/>
  <w15:chartTrackingRefBased/>
  <w15:docId w15:val="{BE21B2F0-03F1-49FB-9334-5FD315E6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3F2A"/>
    <w:rPr>
      <w:color w:val="0000FF"/>
      <w:u w:val="single"/>
    </w:rPr>
  </w:style>
  <w:style w:type="paragraph" w:styleId="NormalWeb">
    <w:name w:val="Normal (Web)"/>
    <w:basedOn w:val="Normal"/>
    <w:uiPriority w:val="99"/>
    <w:semiHidden/>
    <w:unhideWhenUsed/>
    <w:rsid w:val="00F53F2A"/>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Ciccolini%20J%5BAuthor%5D" TargetMode="External"/><Relationship Id="rId13" Type="http://schemas.openxmlformats.org/officeDocument/2006/relationships/hyperlink" Target="https://www.ncbi.nlm.nih.gov/pmc/articles/PMC6584248/" TargetMode="External"/><Relationship Id="rId18" Type="http://schemas.openxmlformats.org/officeDocument/2006/relationships/hyperlink" Target="https://ctep.cancer.gov/protocoldevelopment/electronic_applications/docs/ctcae_v5_quick_reference_5x7.pdf" TargetMode="External"/><Relationship Id="rId26" Type="http://schemas.openxmlformats.org/officeDocument/2006/relationships/hyperlink" Target="https://www.ncbi.nlm.nih.gov/pmc/articles/PMC8556173/" TargetMode="External"/><Relationship Id="rId3" Type="http://schemas.openxmlformats.org/officeDocument/2006/relationships/settings" Target="settings.xml"/><Relationship Id="rId21" Type="http://schemas.openxmlformats.org/officeDocument/2006/relationships/hyperlink" Target="https://pubmed.ncbi.nlm.nih.gov/?term=G%C3%B3rska%20M%5BAuthor%5D" TargetMode="External"/><Relationship Id="rId7" Type="http://schemas.openxmlformats.org/officeDocument/2006/relationships/hyperlink" Target="https://pubmed.ncbi.nlm.nih.gov/?term=Moes%20DJ%5BAuthor%5D" TargetMode="External"/><Relationship Id="rId12" Type="http://schemas.openxmlformats.org/officeDocument/2006/relationships/hyperlink" Target="https://pubmed.ncbi.nlm.nih.gov/?term=van%20Hasselt%20JG%5BAuthor%5D" TargetMode="External"/><Relationship Id="rId17" Type="http://schemas.openxmlformats.org/officeDocument/2006/relationships/hyperlink" Target="https://ctep.cancer.gov/protocoldevelopment/electronic_applications/docs/ctcae_v5_quick_reference_5x7.pdf" TargetMode="External"/><Relationship Id="rId25" Type="http://schemas.openxmlformats.org/officeDocument/2006/relationships/hyperlink" Target="https://pubmed.ncbi.nlm.nih.gov/?term=Honn%20KV%5BAuthor%5D" TargetMode="External"/><Relationship Id="rId2" Type="http://schemas.openxmlformats.org/officeDocument/2006/relationships/styles" Target="styles.xml"/><Relationship Id="rId16" Type="http://schemas.openxmlformats.org/officeDocument/2006/relationships/hyperlink" Target="https://www.ncbi.nlm.nih.gov/pmc/articles/PMC7194002/" TargetMode="External"/><Relationship Id="rId20" Type="http://schemas.openxmlformats.org/officeDocument/2006/relationships/hyperlink" Target="https://pubmed.ncbi.nlm.nih.gov/?term=Rek%20MM%5BAuthor%5D" TargetMode="External"/><Relationship Id="rId1" Type="http://schemas.openxmlformats.org/officeDocument/2006/relationships/numbering" Target="numbering.xml"/><Relationship Id="rId6" Type="http://schemas.openxmlformats.org/officeDocument/2006/relationships/hyperlink" Target="https://pubmed.ncbi.nlm.nih.gov/?term=Moes%20DJ%5BAuthor%5D" TargetMode="External"/><Relationship Id="rId11" Type="http://schemas.openxmlformats.org/officeDocument/2006/relationships/hyperlink" Target="https://pubmed.ncbi.nlm.nih.gov/?term=van%20Hasselt%20JG%5BAuthor%5D" TargetMode="External"/><Relationship Id="rId24" Type="http://schemas.openxmlformats.org/officeDocument/2006/relationships/hyperlink" Target="https://pubmed.ncbi.nlm.nih.gov/?term=Tucker%20SC%5BAuthor%5D" TargetMode="External"/><Relationship Id="rId5" Type="http://schemas.openxmlformats.org/officeDocument/2006/relationships/hyperlink" Target="https://pubmed.ncbi.nlm.nih.gov/?term=Moes%20DJ%5BAuthor%5D" TargetMode="External"/><Relationship Id="rId15" Type="http://schemas.openxmlformats.org/officeDocument/2006/relationships/hyperlink" Target="https://oncologypro.esmo.org/education-library/esmo-handbooks/" TargetMode="External"/><Relationship Id="rId23" Type="http://schemas.openxmlformats.org/officeDocument/2006/relationships/hyperlink" Target="https://pubmed.ncbi.nlm.nih.gov/?term=Radziwon%20P%5BAuthor%5D" TargetMode="External"/><Relationship Id="rId28" Type="http://schemas.openxmlformats.org/officeDocument/2006/relationships/theme" Target="theme/theme1.xml"/><Relationship Id="rId10" Type="http://schemas.openxmlformats.org/officeDocument/2006/relationships/hyperlink" Target="https://pubmed.ncbi.nlm.nih.gov/?term=van%20Hasselt%20JG%5BAuthor%5D" TargetMode="External"/><Relationship Id="rId19" Type="http://schemas.openxmlformats.org/officeDocument/2006/relationships/hyperlink" Target="https://pubmed.ncbi.nlm.nih.gov/?term=Wojtukiewicz%20MZ%5BAuthor%5D" TargetMode="External"/><Relationship Id="rId4" Type="http://schemas.openxmlformats.org/officeDocument/2006/relationships/webSettings" Target="webSettings.xml"/><Relationship Id="rId9" Type="http://schemas.openxmlformats.org/officeDocument/2006/relationships/hyperlink" Target="https://pubmed.ncbi.nlm.nih.gov/?term=Ciccolini%20J%5BAuthor%5D" TargetMode="External"/><Relationship Id="rId14" Type="http://schemas.openxmlformats.org/officeDocument/2006/relationships/hyperlink" Target="https://www.esmo.org/guidelines" TargetMode="External"/><Relationship Id="rId22" Type="http://schemas.openxmlformats.org/officeDocument/2006/relationships/hyperlink" Target="https://pubmed.ncbi.nlm.nih.gov/?term=Moniuszko%20M%5BAuthor%5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2023-05-18T09:46:00Z</dcterms:created>
  <dcterms:modified xsi:type="dcterms:W3CDTF">2023-05-18T09:47:00Z</dcterms:modified>
</cp:coreProperties>
</file>