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DD" w:rsidRPr="00E80647" w:rsidRDefault="00B0718C" w:rsidP="009A7EDD">
      <w:pPr>
        <w:jc w:val="both"/>
        <w:rPr>
          <w:rFonts w:ascii="Arial" w:hAnsi="Arial" w:cs="Arial"/>
          <w:b/>
        </w:rPr>
      </w:pPr>
      <w:r w:rsidRPr="00E80647">
        <w:rPr>
          <w:rFonts w:ascii="Arial" w:hAnsi="Arial" w:cs="Arial"/>
          <w:b/>
        </w:rPr>
        <w:t>Alison Taylor</w:t>
      </w:r>
      <w:r w:rsidRPr="00E80647">
        <w:rPr>
          <w:rFonts w:ascii="Arial" w:hAnsi="Arial" w:cs="Arial"/>
          <w:b/>
        </w:rPr>
        <w:t xml:space="preserve">, </w:t>
      </w:r>
      <w:r w:rsidR="009A7EDD" w:rsidRPr="00E80647">
        <w:rPr>
          <w:rFonts w:ascii="Arial" w:hAnsi="Arial" w:cs="Arial"/>
          <w:b/>
        </w:rPr>
        <w:t xml:space="preserve">Nurse Consultant, </w:t>
      </w:r>
      <w:r w:rsidRPr="00E80647">
        <w:rPr>
          <w:rFonts w:ascii="Arial" w:hAnsi="Arial" w:cs="Arial"/>
          <w:b/>
        </w:rPr>
        <w:t>RN, Bachelor of Nursing Hons (</w:t>
      </w:r>
      <w:r w:rsidR="00E80647">
        <w:rPr>
          <w:rFonts w:ascii="Arial" w:hAnsi="Arial" w:cs="Arial"/>
          <w:b/>
        </w:rPr>
        <w:t xml:space="preserve">First </w:t>
      </w:r>
      <w:r w:rsidR="00E80647" w:rsidRPr="00E80647">
        <w:rPr>
          <w:rFonts w:ascii="Arial" w:hAnsi="Arial" w:cs="Arial"/>
          <w:b/>
        </w:rPr>
        <w:t>class), MSc, NMP</w:t>
      </w:r>
    </w:p>
    <w:p w:rsidR="00E80647" w:rsidRPr="00E80647" w:rsidRDefault="00E80647" w:rsidP="009A7EDD">
      <w:pPr>
        <w:jc w:val="both"/>
        <w:rPr>
          <w:rFonts w:ascii="Arial" w:hAnsi="Arial" w:cs="Arial"/>
          <w:b/>
        </w:rPr>
      </w:pPr>
    </w:p>
    <w:p w:rsidR="00B0718C" w:rsidRPr="00E80647" w:rsidRDefault="00B0718C" w:rsidP="009A7EDD">
      <w:p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Alison currently works as </w:t>
      </w:r>
      <w:r w:rsidR="009A7EDD" w:rsidRPr="00E80647">
        <w:rPr>
          <w:rFonts w:ascii="Arial" w:hAnsi="Arial" w:cs="Arial"/>
        </w:rPr>
        <w:t xml:space="preserve">an </w:t>
      </w:r>
      <w:r w:rsidRPr="00E80647">
        <w:rPr>
          <w:rFonts w:ascii="Arial" w:hAnsi="Arial" w:cs="Arial"/>
        </w:rPr>
        <w:t xml:space="preserve">Acute Oncology (AO) </w:t>
      </w:r>
      <w:r w:rsidR="009A7EDD" w:rsidRPr="00E80647">
        <w:rPr>
          <w:rFonts w:ascii="Arial" w:hAnsi="Arial" w:cs="Arial"/>
        </w:rPr>
        <w:t xml:space="preserve">Nurse Consultant at </w:t>
      </w:r>
      <w:r w:rsidRPr="00E80647">
        <w:rPr>
          <w:rFonts w:ascii="Arial" w:hAnsi="Arial" w:cs="Arial"/>
        </w:rPr>
        <w:t xml:space="preserve">The </w:t>
      </w:r>
      <w:proofErr w:type="spellStart"/>
      <w:r w:rsidRPr="00E80647">
        <w:rPr>
          <w:rFonts w:ascii="Arial" w:hAnsi="Arial" w:cs="Arial"/>
        </w:rPr>
        <w:t>Clatte</w:t>
      </w:r>
      <w:r w:rsidR="009A7EDD" w:rsidRPr="00E80647">
        <w:rPr>
          <w:rFonts w:ascii="Arial" w:hAnsi="Arial" w:cs="Arial"/>
        </w:rPr>
        <w:t>rbridge</w:t>
      </w:r>
      <w:proofErr w:type="spellEnd"/>
      <w:r w:rsidR="009A7EDD" w:rsidRPr="00E80647">
        <w:rPr>
          <w:rFonts w:ascii="Arial" w:hAnsi="Arial" w:cs="Arial"/>
        </w:rPr>
        <w:t xml:space="preserve"> Cancer Centre (</w:t>
      </w:r>
      <w:r w:rsidRPr="00E80647">
        <w:rPr>
          <w:rFonts w:ascii="Arial" w:hAnsi="Arial" w:cs="Arial"/>
        </w:rPr>
        <w:t xml:space="preserve">CCC), where she provides </w:t>
      </w:r>
      <w:r w:rsidR="009A7EDD" w:rsidRPr="00E80647">
        <w:rPr>
          <w:rFonts w:ascii="Arial" w:hAnsi="Arial" w:cs="Arial"/>
        </w:rPr>
        <w:t xml:space="preserve">specialist </w:t>
      </w:r>
      <w:r w:rsidRPr="00E80647">
        <w:rPr>
          <w:rFonts w:ascii="Arial" w:hAnsi="Arial" w:cs="Arial"/>
        </w:rPr>
        <w:t>oncology outreach to cancer patient</w:t>
      </w:r>
      <w:r w:rsidR="009A7EDD" w:rsidRPr="00E80647">
        <w:rPr>
          <w:rFonts w:ascii="Arial" w:hAnsi="Arial" w:cs="Arial"/>
        </w:rPr>
        <w:t>s in regional</w:t>
      </w:r>
      <w:r w:rsidR="007E6F7B" w:rsidRPr="00E80647">
        <w:rPr>
          <w:rFonts w:ascii="Arial" w:hAnsi="Arial" w:cs="Arial"/>
        </w:rPr>
        <w:t xml:space="preserve"> hospitals.</w:t>
      </w:r>
      <w:r w:rsidRPr="00E80647">
        <w:rPr>
          <w:rFonts w:ascii="Arial" w:hAnsi="Arial" w:cs="Arial"/>
        </w:rPr>
        <w:t xml:space="preserve"> She also is the AO and Cancer of Unknown Primary (CUP) lead for CCC and provides strategic leadership</w:t>
      </w:r>
      <w:r w:rsidRPr="00E80647">
        <w:rPr>
          <w:rFonts w:ascii="Arial" w:hAnsi="Arial" w:cs="Arial"/>
        </w:rPr>
        <w:t xml:space="preserve"> locally, regionally and</w:t>
      </w:r>
      <w:r w:rsidRPr="00E80647">
        <w:rPr>
          <w:rFonts w:ascii="Arial" w:hAnsi="Arial" w:cs="Arial"/>
        </w:rPr>
        <w:t xml:space="preserve"> nationally. She is a</w:t>
      </w:r>
      <w:r w:rsidRPr="00E80647">
        <w:rPr>
          <w:rFonts w:ascii="Arial" w:hAnsi="Arial" w:cs="Arial"/>
        </w:rPr>
        <w:t xml:space="preserve"> UK Acute Oncology Society Board member and nurses group chair</w:t>
      </w:r>
      <w:r w:rsidRPr="00E80647">
        <w:rPr>
          <w:rFonts w:ascii="Arial" w:hAnsi="Arial" w:cs="Arial"/>
        </w:rPr>
        <w:t>.</w:t>
      </w:r>
    </w:p>
    <w:p w:rsidR="00B0718C" w:rsidRPr="00E80647" w:rsidRDefault="00B0718C" w:rsidP="009A7EDD">
      <w:pPr>
        <w:jc w:val="both"/>
        <w:rPr>
          <w:rFonts w:ascii="Arial" w:hAnsi="Arial" w:cs="Arial"/>
        </w:rPr>
      </w:pPr>
    </w:p>
    <w:p w:rsidR="007E6F7B" w:rsidRPr="00E80647" w:rsidRDefault="00B0718C" w:rsidP="009A7EDD">
      <w:p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Alison has worked as </w:t>
      </w:r>
      <w:r w:rsidR="007E6F7B" w:rsidRPr="00E80647">
        <w:rPr>
          <w:rFonts w:ascii="Arial" w:hAnsi="Arial" w:cs="Arial"/>
        </w:rPr>
        <w:t xml:space="preserve">an </w:t>
      </w:r>
      <w:r w:rsidRPr="00E80647">
        <w:rPr>
          <w:rFonts w:ascii="Arial" w:hAnsi="Arial" w:cs="Arial"/>
        </w:rPr>
        <w:t>oncology</w:t>
      </w:r>
      <w:r w:rsidR="007E6F7B" w:rsidRPr="00E80647">
        <w:rPr>
          <w:rFonts w:ascii="Arial" w:hAnsi="Arial" w:cs="Arial"/>
        </w:rPr>
        <w:t xml:space="preserve"> nurse</w:t>
      </w:r>
      <w:r w:rsidRPr="00E80647">
        <w:rPr>
          <w:rFonts w:ascii="Arial" w:hAnsi="Arial" w:cs="Arial"/>
        </w:rPr>
        <w:t xml:space="preserve"> for over 20 year</w:t>
      </w:r>
      <w:r w:rsidR="007E6F7B" w:rsidRPr="00E80647">
        <w:rPr>
          <w:rFonts w:ascii="Arial" w:hAnsi="Arial" w:cs="Arial"/>
        </w:rPr>
        <w:t xml:space="preserve">s, special. </w:t>
      </w:r>
      <w:r w:rsidRPr="00E80647">
        <w:rPr>
          <w:rFonts w:ascii="Arial" w:hAnsi="Arial" w:cs="Arial"/>
        </w:rPr>
        <w:t>She obtained a first class honours degree in Nursing from the University of Liverpool, she then completed a M</w:t>
      </w:r>
      <w:r w:rsidR="007E6F7B" w:rsidRPr="00E80647">
        <w:rPr>
          <w:rFonts w:ascii="Arial" w:hAnsi="Arial" w:cs="Arial"/>
        </w:rPr>
        <w:t xml:space="preserve">asters in Nursing with </w:t>
      </w:r>
      <w:r w:rsidRPr="00E80647">
        <w:rPr>
          <w:rFonts w:ascii="Arial" w:hAnsi="Arial" w:cs="Arial"/>
        </w:rPr>
        <w:t xml:space="preserve">Manchester University before going on to complete the advanced practice MSc Modules and NMP at Liverpool John </w:t>
      </w:r>
      <w:proofErr w:type="spellStart"/>
      <w:r w:rsidRPr="00E80647">
        <w:rPr>
          <w:rFonts w:ascii="Arial" w:hAnsi="Arial" w:cs="Arial"/>
        </w:rPr>
        <w:t>Moores</w:t>
      </w:r>
      <w:proofErr w:type="spellEnd"/>
      <w:r w:rsidRPr="00E80647">
        <w:rPr>
          <w:rFonts w:ascii="Arial" w:hAnsi="Arial" w:cs="Arial"/>
        </w:rPr>
        <w:t xml:space="preserve"> University. </w:t>
      </w:r>
      <w:r w:rsidR="009A7EDD" w:rsidRPr="00E80647">
        <w:rPr>
          <w:rFonts w:ascii="Arial" w:hAnsi="Arial" w:cs="Arial"/>
        </w:rPr>
        <w:t xml:space="preserve">She has been a NMP for over 10 years. </w:t>
      </w:r>
      <w:r w:rsidR="009A7EDD" w:rsidRPr="00E80647">
        <w:rPr>
          <w:rFonts w:ascii="Arial" w:hAnsi="Arial" w:cs="Arial"/>
        </w:rPr>
        <w:t>She has strong links with education and was the module leader for the University of Liverpool Acute oncology MSc module for nearly 10 years.</w:t>
      </w:r>
      <w:r w:rsidR="007E6F7B" w:rsidRPr="00E80647">
        <w:rPr>
          <w:rFonts w:ascii="Arial" w:hAnsi="Arial" w:cs="Arial"/>
        </w:rPr>
        <w:t xml:space="preserve"> </w:t>
      </w:r>
      <w:r w:rsidR="009A7EDD" w:rsidRPr="00E80647">
        <w:rPr>
          <w:rFonts w:ascii="Arial" w:hAnsi="Arial" w:cs="Arial"/>
        </w:rPr>
        <w:t xml:space="preserve">Alison is a </w:t>
      </w:r>
      <w:r w:rsidR="007E6F7B" w:rsidRPr="00E80647">
        <w:rPr>
          <w:rFonts w:ascii="Arial" w:hAnsi="Arial" w:cs="Arial"/>
        </w:rPr>
        <w:t>proud to be a nurse and</w:t>
      </w:r>
      <w:r w:rsidR="009A7EDD" w:rsidRPr="00E80647">
        <w:rPr>
          <w:rFonts w:ascii="Arial" w:hAnsi="Arial" w:cs="Arial"/>
        </w:rPr>
        <w:t xml:space="preserve"> Florence</w:t>
      </w:r>
      <w:r w:rsidRPr="00E80647">
        <w:rPr>
          <w:rFonts w:ascii="Arial" w:hAnsi="Arial" w:cs="Arial"/>
        </w:rPr>
        <w:t xml:space="preserve"> Nightingale Le</w:t>
      </w:r>
      <w:r w:rsidR="007E6F7B" w:rsidRPr="00E80647">
        <w:rPr>
          <w:rFonts w:ascii="Arial" w:hAnsi="Arial" w:cs="Arial"/>
        </w:rPr>
        <w:t>adership Alumni champion</w:t>
      </w:r>
      <w:r w:rsidR="009A7EDD" w:rsidRPr="00E80647">
        <w:rPr>
          <w:rFonts w:ascii="Arial" w:hAnsi="Arial" w:cs="Arial"/>
        </w:rPr>
        <w:t xml:space="preserve">. </w:t>
      </w:r>
    </w:p>
    <w:p w:rsidR="007E6F7B" w:rsidRPr="00E80647" w:rsidRDefault="007E6F7B" w:rsidP="009A7EDD">
      <w:pPr>
        <w:jc w:val="both"/>
        <w:rPr>
          <w:rFonts w:ascii="Arial" w:hAnsi="Arial" w:cs="Arial"/>
          <w:b/>
        </w:rPr>
      </w:pPr>
    </w:p>
    <w:p w:rsidR="009A7EDD" w:rsidRPr="00E80647" w:rsidRDefault="009A7EDD" w:rsidP="009A7EDD">
      <w:pPr>
        <w:jc w:val="both"/>
        <w:rPr>
          <w:rFonts w:ascii="Arial" w:hAnsi="Arial" w:cs="Arial"/>
          <w:b/>
        </w:rPr>
      </w:pPr>
      <w:r w:rsidRPr="00E80647">
        <w:rPr>
          <w:rFonts w:ascii="Arial" w:hAnsi="Arial" w:cs="Arial"/>
          <w:b/>
        </w:rPr>
        <w:t>Abstract</w:t>
      </w:r>
      <w:r w:rsidR="007E6F7B" w:rsidRPr="00E80647">
        <w:rPr>
          <w:rFonts w:ascii="Arial" w:hAnsi="Arial" w:cs="Arial"/>
          <w:b/>
        </w:rPr>
        <w:t xml:space="preserve"> – Non medical prescribing in acute oncology</w:t>
      </w:r>
    </w:p>
    <w:p w:rsidR="009A7EDD" w:rsidRPr="00E80647" w:rsidRDefault="009A7EDD" w:rsidP="009A7EDD">
      <w:pPr>
        <w:jc w:val="both"/>
        <w:rPr>
          <w:rFonts w:ascii="Arial" w:hAnsi="Arial" w:cs="Arial"/>
          <w:b/>
        </w:rPr>
      </w:pPr>
    </w:p>
    <w:p w:rsidR="009A7EDD" w:rsidRPr="00E80647" w:rsidRDefault="009A7EDD" w:rsidP="009A7EDD">
      <w:p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The use of steroids within oncology is common place with multiple </w:t>
      </w:r>
      <w:r w:rsidR="006F48D3" w:rsidRPr="00E80647">
        <w:rPr>
          <w:rFonts w:ascii="Arial" w:hAnsi="Arial" w:cs="Arial"/>
        </w:rPr>
        <w:t>uses and rationale (</w:t>
      </w:r>
      <w:proofErr w:type="spellStart"/>
      <w:r w:rsidR="007E6F7B" w:rsidRPr="00E80647">
        <w:rPr>
          <w:rFonts w:ascii="Arial" w:hAnsi="Arial" w:cs="Arial"/>
        </w:rPr>
        <w:t>Lossigno</w:t>
      </w:r>
      <w:r w:rsidR="006F48D3" w:rsidRPr="00E80647">
        <w:rPr>
          <w:rFonts w:ascii="Arial" w:hAnsi="Arial" w:cs="Arial"/>
        </w:rPr>
        <w:t>l</w:t>
      </w:r>
      <w:proofErr w:type="spellEnd"/>
      <w:r w:rsidR="006F48D3" w:rsidRPr="00E80647">
        <w:rPr>
          <w:rFonts w:ascii="Arial" w:hAnsi="Arial" w:cs="Arial"/>
        </w:rPr>
        <w:t xml:space="preserve">, 2016). </w:t>
      </w:r>
      <w:r w:rsidR="008F45D0" w:rsidRPr="00E80647">
        <w:rPr>
          <w:rFonts w:ascii="Arial" w:hAnsi="Arial" w:cs="Arial"/>
        </w:rPr>
        <w:t>Reasons for use in acute oncology</w:t>
      </w:r>
      <w:r w:rsidRPr="00E80647">
        <w:rPr>
          <w:rFonts w:ascii="Arial" w:hAnsi="Arial" w:cs="Arial"/>
        </w:rPr>
        <w:t xml:space="preserve"> include to reduce </w:t>
      </w:r>
      <w:r w:rsidR="008F45D0" w:rsidRPr="00E80647">
        <w:rPr>
          <w:rFonts w:ascii="Arial" w:hAnsi="Arial" w:cs="Arial"/>
        </w:rPr>
        <w:t>oedema linked with cancer in common complications such as m</w:t>
      </w:r>
      <w:r w:rsidRPr="00E80647">
        <w:rPr>
          <w:rFonts w:ascii="Arial" w:hAnsi="Arial" w:cs="Arial"/>
        </w:rPr>
        <w:t xml:space="preserve">etastatic spinal cord compress (MSCC), brain </w:t>
      </w:r>
      <w:r w:rsidR="008F45D0" w:rsidRPr="00E80647">
        <w:rPr>
          <w:rFonts w:ascii="Arial" w:hAnsi="Arial" w:cs="Arial"/>
        </w:rPr>
        <w:t>metastases</w:t>
      </w:r>
      <w:r w:rsidRPr="00E80647">
        <w:rPr>
          <w:rFonts w:ascii="Arial" w:hAnsi="Arial" w:cs="Arial"/>
        </w:rPr>
        <w:t xml:space="preserve">, liver capsule pain, </w:t>
      </w:r>
      <w:r w:rsidR="008F45D0" w:rsidRPr="00E80647">
        <w:rPr>
          <w:rFonts w:ascii="Arial" w:hAnsi="Arial" w:cs="Arial"/>
        </w:rPr>
        <w:t>superior vena cava obstruction,</w:t>
      </w:r>
      <w:r w:rsidR="006F48D3" w:rsidRPr="00E80647">
        <w:rPr>
          <w:rFonts w:ascii="Arial" w:hAnsi="Arial" w:cs="Arial"/>
        </w:rPr>
        <w:t xml:space="preserve"> bowel obstruction and</w:t>
      </w:r>
      <w:r w:rsidR="008F45D0" w:rsidRPr="00E80647">
        <w:rPr>
          <w:rFonts w:ascii="Arial" w:hAnsi="Arial" w:cs="Arial"/>
        </w:rPr>
        <w:t xml:space="preserve"> </w:t>
      </w:r>
      <w:proofErr w:type="spellStart"/>
      <w:r w:rsidR="008F45D0" w:rsidRPr="00E80647">
        <w:rPr>
          <w:rFonts w:ascii="Arial" w:hAnsi="Arial" w:cs="Arial"/>
        </w:rPr>
        <w:t>lymphangitis</w:t>
      </w:r>
      <w:proofErr w:type="spellEnd"/>
      <w:r w:rsidR="008F45D0" w:rsidRPr="00E80647">
        <w:rPr>
          <w:rFonts w:ascii="Arial" w:hAnsi="Arial" w:cs="Arial"/>
        </w:rPr>
        <w:t>. Other reasons for steroid prescribing in cancer care include as an anti-emetic, to boost appetite, hypersensitivity reactions (especially to systemic anti-cancer therapy, SACT), and more recently in the management of immunotherapy related side effects to reduce immune response.</w:t>
      </w:r>
      <w:r w:rsidR="006F48D3" w:rsidRPr="00E80647">
        <w:rPr>
          <w:rFonts w:ascii="Arial" w:hAnsi="Arial" w:cs="Arial"/>
        </w:rPr>
        <w:t xml:space="preserve"> In some cancers steroids are used to help aid the SACT work more effectively and are part of anti-cancer treatment.</w:t>
      </w:r>
    </w:p>
    <w:p w:rsidR="008F45D0" w:rsidRPr="00E80647" w:rsidRDefault="008F45D0" w:rsidP="009A7EDD">
      <w:p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>Whilst the usage of steroid</w:t>
      </w:r>
      <w:r w:rsidR="007E6F7B" w:rsidRPr="00E80647">
        <w:rPr>
          <w:rFonts w:ascii="Arial" w:hAnsi="Arial" w:cs="Arial"/>
        </w:rPr>
        <w:t xml:space="preserve">s </w:t>
      </w:r>
      <w:r w:rsidRPr="00E80647">
        <w:rPr>
          <w:rFonts w:ascii="Arial" w:hAnsi="Arial" w:cs="Arial"/>
        </w:rPr>
        <w:t xml:space="preserve">is frequent, there are key considerations that need to be made </w:t>
      </w:r>
      <w:r w:rsidR="007E6F7B" w:rsidRPr="00E80647">
        <w:rPr>
          <w:rFonts w:ascii="Arial" w:hAnsi="Arial" w:cs="Arial"/>
        </w:rPr>
        <w:t>when using steroids (</w:t>
      </w:r>
      <w:proofErr w:type="spellStart"/>
      <w:r w:rsidR="007E6F7B" w:rsidRPr="00E80647">
        <w:rPr>
          <w:rFonts w:ascii="Arial" w:hAnsi="Arial" w:cs="Arial"/>
        </w:rPr>
        <w:t>Tanwar</w:t>
      </w:r>
      <w:proofErr w:type="spellEnd"/>
      <w:r w:rsidR="007E6F7B" w:rsidRPr="00E80647">
        <w:rPr>
          <w:rFonts w:ascii="Arial" w:hAnsi="Arial" w:cs="Arial"/>
        </w:rPr>
        <w:t xml:space="preserve"> and Singh, 2022).</w:t>
      </w:r>
    </w:p>
    <w:p w:rsidR="008F45D0" w:rsidRPr="00E80647" w:rsidRDefault="00E80647" w:rsidP="009A7EDD">
      <w:p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>The</w:t>
      </w:r>
      <w:r w:rsidR="008F45D0" w:rsidRPr="00E80647">
        <w:rPr>
          <w:rFonts w:ascii="Arial" w:hAnsi="Arial" w:cs="Arial"/>
        </w:rPr>
        <w:t>s</w:t>
      </w:r>
      <w:r w:rsidRPr="00E80647">
        <w:rPr>
          <w:rFonts w:ascii="Arial" w:hAnsi="Arial" w:cs="Arial"/>
        </w:rPr>
        <w:t>e include</w:t>
      </w:r>
      <w:r w:rsidR="008F45D0" w:rsidRPr="00E80647">
        <w:rPr>
          <w:rFonts w:ascii="Arial" w:hAnsi="Arial" w:cs="Arial"/>
        </w:rPr>
        <w:t>:</w:t>
      </w:r>
    </w:p>
    <w:p w:rsidR="00000000" w:rsidRPr="00E80647" w:rsidRDefault="008F45D0" w:rsidP="009A7ED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The use of a proton pump inhibitor (PPI) as </w:t>
      </w:r>
      <w:r w:rsidR="00AD6435" w:rsidRPr="00E80647">
        <w:rPr>
          <w:rFonts w:ascii="Arial" w:hAnsi="Arial" w:cs="Arial"/>
        </w:rPr>
        <w:t>protection</w:t>
      </w:r>
      <w:r w:rsidRPr="00E80647">
        <w:rPr>
          <w:rFonts w:ascii="Arial" w:hAnsi="Arial" w:cs="Arial"/>
        </w:rPr>
        <w:t xml:space="preserve"> for the stomach</w:t>
      </w:r>
    </w:p>
    <w:p w:rsidR="008F45D0" w:rsidRPr="00E80647" w:rsidRDefault="008F45D0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Impact of steroids on blood glucose levels, especially in diabetic patients and blood glucose </w:t>
      </w:r>
      <w:r w:rsidR="00AD6435" w:rsidRPr="00E80647">
        <w:rPr>
          <w:rFonts w:ascii="Arial" w:hAnsi="Arial" w:cs="Arial"/>
        </w:rPr>
        <w:t xml:space="preserve"> monitoring</w:t>
      </w:r>
      <w:r w:rsidRPr="00E80647">
        <w:rPr>
          <w:rFonts w:ascii="Arial" w:hAnsi="Arial" w:cs="Arial"/>
        </w:rPr>
        <w:t xml:space="preserve"> </w:t>
      </w:r>
    </w:p>
    <w:p w:rsidR="008F45D0" w:rsidRPr="00E80647" w:rsidRDefault="008F45D0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>Prescription times, avoiding prescriptions after early afternoon as steroids can impact on quality of sleep</w:t>
      </w:r>
    </w:p>
    <w:p w:rsidR="008F45D0" w:rsidRPr="00E80647" w:rsidRDefault="008F45D0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>Weaning dosage</w:t>
      </w:r>
      <w:r w:rsidRPr="00E80647">
        <w:rPr>
          <w:rFonts w:ascii="Arial" w:hAnsi="Arial" w:cs="Arial"/>
        </w:rPr>
        <w:t>, to ensure the patient is on the smallest dose possible to manage symptoms for the shortest duration, to avoid long term side effects of steroids.</w:t>
      </w:r>
    </w:p>
    <w:p w:rsidR="008F45D0" w:rsidRPr="00E80647" w:rsidRDefault="008F45D0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Required dosage to manage symptoms, often high doses are needed </w:t>
      </w:r>
      <w:r w:rsidR="006F48D3" w:rsidRPr="00E80647">
        <w:rPr>
          <w:rFonts w:ascii="Arial" w:hAnsi="Arial" w:cs="Arial"/>
        </w:rPr>
        <w:t>initially</w:t>
      </w:r>
    </w:p>
    <w:p w:rsidR="008F45D0" w:rsidRPr="00E80647" w:rsidRDefault="008F45D0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>P</w:t>
      </w:r>
      <w:r w:rsidRPr="00E80647">
        <w:rPr>
          <w:rFonts w:ascii="Arial" w:hAnsi="Arial" w:cs="Arial"/>
        </w:rPr>
        <w:t>revious</w:t>
      </w:r>
      <w:r w:rsidR="006F48D3" w:rsidRPr="00E80647">
        <w:rPr>
          <w:rFonts w:ascii="Arial" w:hAnsi="Arial" w:cs="Arial"/>
        </w:rPr>
        <w:t xml:space="preserve"> medical and drug</w:t>
      </w:r>
      <w:r w:rsidRPr="00E80647">
        <w:rPr>
          <w:rFonts w:ascii="Arial" w:hAnsi="Arial" w:cs="Arial"/>
        </w:rPr>
        <w:t xml:space="preserve"> history</w:t>
      </w:r>
      <w:r w:rsidR="006F48D3" w:rsidRPr="00E80647">
        <w:rPr>
          <w:rFonts w:ascii="Arial" w:hAnsi="Arial" w:cs="Arial"/>
        </w:rPr>
        <w:t>, to include if patients have had steroids before and how they tolerated them</w:t>
      </w:r>
    </w:p>
    <w:p w:rsidR="006F48D3" w:rsidRPr="00E80647" w:rsidRDefault="006F48D3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>Mouth care regimens as steroids may cause oral thrush</w:t>
      </w:r>
    </w:p>
    <w:p w:rsidR="007E6F7B" w:rsidRPr="00E80647" w:rsidRDefault="007E6F7B" w:rsidP="008F45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Long term side effects such as </w:t>
      </w:r>
      <w:proofErr w:type="spellStart"/>
      <w:r w:rsidRPr="00E80647">
        <w:rPr>
          <w:rFonts w:ascii="Arial" w:hAnsi="Arial" w:cs="Arial"/>
        </w:rPr>
        <w:t>cushingoid</w:t>
      </w:r>
      <w:proofErr w:type="spellEnd"/>
      <w:r w:rsidRPr="00E80647">
        <w:rPr>
          <w:rFonts w:ascii="Arial" w:hAnsi="Arial" w:cs="Arial"/>
        </w:rPr>
        <w:t xml:space="preserve"> syndrome, hypertension ,weigh gain, and osteoporosis</w:t>
      </w:r>
    </w:p>
    <w:p w:rsidR="00E80647" w:rsidRPr="00E80647" w:rsidRDefault="00E80647" w:rsidP="00E80647">
      <w:pPr>
        <w:jc w:val="both"/>
        <w:rPr>
          <w:rFonts w:ascii="Arial" w:hAnsi="Arial" w:cs="Arial"/>
        </w:rPr>
      </w:pPr>
      <w:r w:rsidRPr="00E80647">
        <w:rPr>
          <w:rFonts w:ascii="Arial" w:hAnsi="Arial" w:cs="Arial"/>
        </w:rPr>
        <w:t xml:space="preserve">There is limited evidence on the correct dosage or weaning guidelines for the use of steroids in oncology. </w:t>
      </w:r>
      <w:r w:rsidR="00AD6435">
        <w:rPr>
          <w:rFonts w:ascii="Arial" w:hAnsi="Arial" w:cs="Arial"/>
        </w:rPr>
        <w:t>However, there is much evidence about the rationale for steroids in general usage and key principles</w:t>
      </w:r>
      <w:bookmarkStart w:id="0" w:name="_GoBack"/>
      <w:bookmarkEnd w:id="0"/>
      <w:r w:rsidR="00AD6435">
        <w:rPr>
          <w:rFonts w:ascii="Arial" w:hAnsi="Arial" w:cs="Arial"/>
        </w:rPr>
        <w:t xml:space="preserve"> from this can be applied to the use of steroids in oncology.</w:t>
      </w:r>
    </w:p>
    <w:p w:rsidR="00000000" w:rsidRPr="00E80647" w:rsidRDefault="00AD6435" w:rsidP="006F48D3">
      <w:pPr>
        <w:ind w:left="720"/>
        <w:jc w:val="both"/>
        <w:rPr>
          <w:rFonts w:ascii="Arial" w:hAnsi="Arial" w:cs="Arial"/>
        </w:rPr>
      </w:pPr>
    </w:p>
    <w:p w:rsidR="006F48D3" w:rsidRPr="00E80647" w:rsidRDefault="006F48D3" w:rsidP="009A7EDD">
      <w:pPr>
        <w:jc w:val="both"/>
        <w:rPr>
          <w:rFonts w:ascii="Arial" w:hAnsi="Arial" w:cs="Arial"/>
          <w:b/>
          <w:sz w:val="20"/>
          <w:szCs w:val="20"/>
        </w:rPr>
      </w:pPr>
      <w:r w:rsidRPr="00E80647">
        <w:rPr>
          <w:rFonts w:ascii="Arial" w:hAnsi="Arial" w:cs="Arial"/>
          <w:b/>
          <w:sz w:val="20"/>
          <w:szCs w:val="20"/>
        </w:rPr>
        <w:t>References</w:t>
      </w:r>
    </w:p>
    <w:p w:rsidR="006F48D3" w:rsidRPr="00E80647" w:rsidRDefault="006F48D3" w:rsidP="009A7EDD">
      <w:pPr>
        <w:jc w:val="both"/>
        <w:rPr>
          <w:rFonts w:ascii="Arial" w:hAnsi="Arial" w:cs="Arial"/>
          <w:sz w:val="20"/>
          <w:szCs w:val="20"/>
        </w:rPr>
      </w:pPr>
    </w:p>
    <w:p w:rsidR="00567D87" w:rsidRPr="00E80647" w:rsidRDefault="006F48D3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E80647">
        <w:rPr>
          <w:rFonts w:ascii="Arial" w:hAnsi="Arial" w:cs="Arial"/>
          <w:sz w:val="20"/>
          <w:szCs w:val="20"/>
          <w:shd w:val="clear" w:color="auto" w:fill="FFFFFF"/>
        </w:rPr>
        <w:t>Lossignol</w:t>
      </w:r>
      <w:proofErr w:type="spellEnd"/>
      <w:r w:rsidRPr="00E80647">
        <w:rPr>
          <w:rFonts w:ascii="Arial" w:hAnsi="Arial" w:cs="Arial"/>
          <w:sz w:val="20"/>
          <w:szCs w:val="20"/>
          <w:shd w:val="clear" w:color="auto" w:fill="FFFFFF"/>
        </w:rPr>
        <w:t xml:space="preserve"> D. A little help from steroids in oncology. J </w:t>
      </w:r>
      <w:proofErr w:type="spellStart"/>
      <w:r w:rsidRPr="00E80647">
        <w:rPr>
          <w:rFonts w:ascii="Arial" w:hAnsi="Arial" w:cs="Arial"/>
          <w:sz w:val="20"/>
          <w:szCs w:val="20"/>
          <w:shd w:val="clear" w:color="auto" w:fill="FFFFFF"/>
        </w:rPr>
        <w:t>Transl</w:t>
      </w:r>
      <w:proofErr w:type="spellEnd"/>
      <w:r w:rsidRPr="00E806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80647">
        <w:rPr>
          <w:rFonts w:ascii="Arial" w:hAnsi="Arial" w:cs="Arial"/>
          <w:sz w:val="20"/>
          <w:szCs w:val="20"/>
          <w:shd w:val="clear" w:color="auto" w:fill="FFFFFF"/>
        </w:rPr>
        <w:t>Int</w:t>
      </w:r>
      <w:proofErr w:type="spellEnd"/>
      <w:r w:rsidRPr="00E80647">
        <w:rPr>
          <w:rFonts w:ascii="Arial" w:hAnsi="Arial" w:cs="Arial"/>
          <w:sz w:val="20"/>
          <w:szCs w:val="20"/>
          <w:shd w:val="clear" w:color="auto" w:fill="FFFFFF"/>
        </w:rPr>
        <w:t xml:space="preserve"> Med. 2016 Apr 1</w:t>
      </w:r>
      <w:proofErr w:type="gramStart"/>
      <w:r w:rsidRPr="00E80647">
        <w:rPr>
          <w:rFonts w:ascii="Arial" w:hAnsi="Arial" w:cs="Arial"/>
          <w:sz w:val="20"/>
          <w:szCs w:val="20"/>
          <w:shd w:val="clear" w:color="auto" w:fill="FFFFFF"/>
        </w:rPr>
        <w:t>;4</w:t>
      </w:r>
      <w:proofErr w:type="gramEnd"/>
      <w:r w:rsidRPr="00E80647">
        <w:rPr>
          <w:rFonts w:ascii="Arial" w:hAnsi="Arial" w:cs="Arial"/>
          <w:sz w:val="20"/>
          <w:szCs w:val="20"/>
          <w:shd w:val="clear" w:color="auto" w:fill="FFFFFF"/>
        </w:rPr>
        <w:t xml:space="preserve">(1):52-54. </w:t>
      </w:r>
      <w:proofErr w:type="spellStart"/>
      <w:proofErr w:type="gramStart"/>
      <w:r w:rsidRPr="00E80647">
        <w:rPr>
          <w:rFonts w:ascii="Arial" w:hAnsi="Arial" w:cs="Arial"/>
          <w:sz w:val="20"/>
          <w:szCs w:val="20"/>
          <w:shd w:val="clear" w:color="auto" w:fill="FFFFFF"/>
        </w:rPr>
        <w:t>doi</w:t>
      </w:r>
      <w:proofErr w:type="spellEnd"/>
      <w:proofErr w:type="gramEnd"/>
      <w:r w:rsidRPr="00E80647">
        <w:rPr>
          <w:rFonts w:ascii="Arial" w:hAnsi="Arial" w:cs="Arial"/>
          <w:sz w:val="20"/>
          <w:szCs w:val="20"/>
          <w:shd w:val="clear" w:color="auto" w:fill="FFFFFF"/>
        </w:rPr>
        <w:t xml:space="preserve">: 10.1515/jtim-2016-0011. </w:t>
      </w:r>
      <w:proofErr w:type="spellStart"/>
      <w:r w:rsidRPr="00E80647">
        <w:rPr>
          <w:rFonts w:ascii="Arial" w:hAnsi="Arial" w:cs="Arial"/>
          <w:sz w:val="20"/>
          <w:szCs w:val="20"/>
          <w:shd w:val="clear" w:color="auto" w:fill="FFFFFF"/>
        </w:rPr>
        <w:t>Epub</w:t>
      </w:r>
      <w:proofErr w:type="spellEnd"/>
      <w:r w:rsidRPr="00E80647">
        <w:rPr>
          <w:rFonts w:ascii="Arial" w:hAnsi="Arial" w:cs="Arial"/>
          <w:sz w:val="20"/>
          <w:szCs w:val="20"/>
          <w:shd w:val="clear" w:color="auto" w:fill="FFFFFF"/>
        </w:rPr>
        <w:t xml:space="preserve"> 2016 Apr 14</w:t>
      </w:r>
    </w:p>
    <w:p w:rsidR="006F48D3" w:rsidRPr="00E80647" w:rsidRDefault="006F48D3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6F48D3" w:rsidRPr="00E80647" w:rsidRDefault="007E6F7B">
      <w:pPr>
        <w:rPr>
          <w:rFonts w:ascii="Arial" w:hAnsi="Arial" w:cs="Arial"/>
          <w:sz w:val="20"/>
          <w:szCs w:val="20"/>
        </w:rPr>
      </w:pPr>
      <w:proofErr w:type="spellStart"/>
      <w:r w:rsidRPr="00E80647">
        <w:rPr>
          <w:rFonts w:ascii="Arial" w:hAnsi="Arial" w:cs="Arial"/>
          <w:sz w:val="20"/>
          <w:szCs w:val="20"/>
        </w:rPr>
        <w:t>Tanwar</w:t>
      </w:r>
      <w:proofErr w:type="spellEnd"/>
      <w:r w:rsidR="00E80647" w:rsidRPr="00E8064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80647" w:rsidRPr="00E80647">
        <w:rPr>
          <w:rFonts w:ascii="Arial" w:hAnsi="Arial" w:cs="Arial"/>
          <w:sz w:val="20"/>
          <w:szCs w:val="20"/>
        </w:rPr>
        <w:t>S ,</w:t>
      </w:r>
      <w:proofErr w:type="gramEnd"/>
      <w:r w:rsidR="00E80647" w:rsidRPr="00E80647">
        <w:rPr>
          <w:rFonts w:ascii="Arial" w:hAnsi="Arial" w:cs="Arial"/>
          <w:sz w:val="20"/>
          <w:szCs w:val="20"/>
        </w:rPr>
        <w:t xml:space="preserve"> </w:t>
      </w:r>
      <w:r w:rsidRPr="00E80647">
        <w:rPr>
          <w:rFonts w:ascii="Arial" w:hAnsi="Arial" w:cs="Arial"/>
          <w:sz w:val="20"/>
          <w:szCs w:val="20"/>
        </w:rPr>
        <w:t>Singh</w:t>
      </w:r>
      <w:r w:rsidR="00E80647" w:rsidRPr="00E80647">
        <w:rPr>
          <w:rFonts w:ascii="Arial" w:hAnsi="Arial" w:cs="Arial"/>
          <w:sz w:val="20"/>
          <w:szCs w:val="20"/>
        </w:rPr>
        <w:t>, S</w:t>
      </w:r>
      <w:r w:rsidRPr="00E80647">
        <w:rPr>
          <w:rFonts w:ascii="Arial" w:hAnsi="Arial" w:cs="Arial"/>
          <w:sz w:val="20"/>
          <w:szCs w:val="20"/>
        </w:rPr>
        <w:t xml:space="preserve"> </w:t>
      </w:r>
      <w:r w:rsidR="006F48D3" w:rsidRPr="00E80647">
        <w:rPr>
          <w:rFonts w:ascii="Arial" w:hAnsi="Arial" w:cs="Arial"/>
          <w:sz w:val="20"/>
          <w:szCs w:val="20"/>
        </w:rPr>
        <w:t>Int. J. Pharm. Sci. Rev. Res., 72(2), January - February 2022; Article No. 03, Pages: 17-22</w:t>
      </w:r>
    </w:p>
    <w:sectPr w:rsidR="006F48D3" w:rsidRPr="00E8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7D"/>
    <w:multiLevelType w:val="hybridMultilevel"/>
    <w:tmpl w:val="01F2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90B4C"/>
    <w:multiLevelType w:val="hybridMultilevel"/>
    <w:tmpl w:val="0D2CB048"/>
    <w:lvl w:ilvl="0" w:tplc="52FA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E6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A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63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B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4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F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A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C"/>
    <w:rsid w:val="002157C8"/>
    <w:rsid w:val="00434D40"/>
    <w:rsid w:val="006F48D3"/>
    <w:rsid w:val="007E6F7B"/>
    <w:rsid w:val="008F45D0"/>
    <w:rsid w:val="009A7EDD"/>
    <w:rsid w:val="00AD6435"/>
    <w:rsid w:val="00B0718C"/>
    <w:rsid w:val="00C620AF"/>
    <w:rsid w:val="00CB42D1"/>
    <w:rsid w:val="00E76BC9"/>
    <w:rsid w:val="00E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BD3C"/>
  <w15:chartTrackingRefBased/>
  <w15:docId w15:val="{E231A483-E816-495B-9595-F05BEE4B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Clatterbridge Cancer Centre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Taylor</dc:creator>
  <cp:keywords/>
  <dc:description/>
  <cp:lastModifiedBy>Alison Taylor</cp:lastModifiedBy>
  <cp:revision>3</cp:revision>
  <dcterms:created xsi:type="dcterms:W3CDTF">2022-09-19T09:21:00Z</dcterms:created>
  <dcterms:modified xsi:type="dcterms:W3CDTF">2022-09-19T14:49:00Z</dcterms:modified>
</cp:coreProperties>
</file>