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B01D" w14:textId="77777777" w:rsidR="00170F79" w:rsidRDefault="00170F79" w:rsidP="00170F79">
      <w:pPr>
        <w:pStyle w:val="NormalWeb"/>
        <w:shd w:val="clear" w:color="auto" w:fill="F7F7F7"/>
        <w:spacing w:before="0" w:beforeAutospacing="0" w:after="300" w:afterAutospacing="0" w:line="360" w:lineRule="atLeast"/>
        <w:rPr>
          <w:rFonts w:ascii="Open Sans" w:hAnsi="Open Sans" w:cs="Open Sans"/>
          <w:color w:val="666666"/>
        </w:rPr>
      </w:pPr>
      <w:r>
        <w:rPr>
          <w:rFonts w:ascii="Open Sans" w:hAnsi="Open Sans" w:cs="Open Sans"/>
          <w:color w:val="666666"/>
        </w:rPr>
        <w:t>Helen is a Principal Associate in our Health and Care team based in our London office, providing support across the national health team. </w:t>
      </w:r>
    </w:p>
    <w:p w14:paraId="389CFB7D" w14:textId="77777777" w:rsidR="00170F79" w:rsidRDefault="00170F79" w:rsidP="00170F79">
      <w:pPr>
        <w:pStyle w:val="NormalWeb"/>
        <w:shd w:val="clear" w:color="auto" w:fill="F7F7F7"/>
        <w:spacing w:before="300" w:beforeAutospacing="0" w:after="300" w:afterAutospacing="0" w:line="360" w:lineRule="atLeast"/>
        <w:rPr>
          <w:rFonts w:ascii="Open Sans" w:hAnsi="Open Sans" w:cs="Open Sans"/>
          <w:color w:val="666666"/>
        </w:rPr>
      </w:pPr>
      <w:r>
        <w:rPr>
          <w:rFonts w:ascii="Open Sans" w:hAnsi="Open Sans" w:cs="Open Sans"/>
          <w:color w:val="666666"/>
        </w:rPr>
        <w:t>Helen has significant experience in providing advice to health providers and commissioners of care, having started her career with a focus on child law. Helen has developed a practice specialism in Court of Protection and Inherent Jurisdiction matters. She has acted in a number of cases involving Serious Medical Treatment cases, end of life care/assisted suicide, deprivation of liberty, safeguarding and the interface of the Mental Capacity Act and Mental Health Act. Helen’s experience has included urgent, high profile matters, including those requiring close working with inter-agency partners. She has a particular expertise in cases involving deprivations of liberty and the relevant legal frameworks to be applied.</w:t>
      </w:r>
    </w:p>
    <w:p w14:paraId="7968B1AA" w14:textId="77777777" w:rsidR="00170F79" w:rsidRDefault="00170F79" w:rsidP="00170F79">
      <w:pPr>
        <w:pStyle w:val="NormalWeb"/>
        <w:shd w:val="clear" w:color="auto" w:fill="F7F7F7"/>
        <w:spacing w:before="300" w:beforeAutospacing="0" w:after="300" w:afterAutospacing="0" w:line="360" w:lineRule="atLeast"/>
        <w:rPr>
          <w:rFonts w:ascii="Open Sans" w:hAnsi="Open Sans" w:cs="Open Sans"/>
          <w:color w:val="666666"/>
        </w:rPr>
      </w:pPr>
      <w:r>
        <w:rPr>
          <w:rFonts w:ascii="Open Sans" w:hAnsi="Open Sans" w:cs="Open Sans"/>
          <w:color w:val="666666"/>
        </w:rPr>
        <w:t>Helen also advises on matters relating to NHS Continuing Healthcare, patient care matters which have complex and difficult family dynamics and cases where safeguarding may be an issue.</w:t>
      </w:r>
    </w:p>
    <w:p w14:paraId="246649F8" w14:textId="7F844EA9" w:rsidR="006F07B3" w:rsidRDefault="006F07B3"/>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41"/>
    <w:rsid w:val="00170F79"/>
    <w:rsid w:val="0028256F"/>
    <w:rsid w:val="002E2341"/>
    <w:rsid w:val="006F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3DB9"/>
  <w15:chartTrackingRefBased/>
  <w15:docId w15:val="{CAC3CB22-6CEB-43B1-95D0-561588B5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4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E2341"/>
  </w:style>
  <w:style w:type="character" w:styleId="Emphasis">
    <w:name w:val="Emphasis"/>
    <w:basedOn w:val="DefaultParagraphFont"/>
    <w:uiPriority w:val="20"/>
    <w:qFormat/>
    <w:rsid w:val="002E2341"/>
    <w:rPr>
      <w:i/>
      <w:iCs/>
    </w:rPr>
  </w:style>
  <w:style w:type="paragraph" w:styleId="NormalWeb">
    <w:name w:val="Normal (Web)"/>
    <w:basedOn w:val="Normal"/>
    <w:uiPriority w:val="99"/>
    <w:semiHidden/>
    <w:unhideWhenUsed/>
    <w:rsid w:val="00170F7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6658">
      <w:bodyDiv w:val="1"/>
      <w:marLeft w:val="0"/>
      <w:marRight w:val="0"/>
      <w:marTop w:val="0"/>
      <w:marBottom w:val="0"/>
      <w:divBdr>
        <w:top w:val="none" w:sz="0" w:space="0" w:color="auto"/>
        <w:left w:val="none" w:sz="0" w:space="0" w:color="auto"/>
        <w:bottom w:val="none" w:sz="0" w:space="0" w:color="auto"/>
        <w:right w:val="none" w:sz="0" w:space="0" w:color="auto"/>
      </w:divBdr>
    </w:div>
    <w:div w:id="10263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Adam Grant</cp:lastModifiedBy>
  <cp:revision>3</cp:revision>
  <dcterms:created xsi:type="dcterms:W3CDTF">2021-10-11T14:53:00Z</dcterms:created>
  <dcterms:modified xsi:type="dcterms:W3CDTF">2023-06-22T10:19:00Z</dcterms:modified>
</cp:coreProperties>
</file>