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3B05" w14:textId="4852CDE8" w:rsidR="000B6650" w:rsidRPr="006615A7" w:rsidRDefault="000B6650" w:rsidP="006615A7">
      <w:pPr>
        <w:pStyle w:val="Title"/>
        <w:rPr>
          <w:rFonts w:cstheme="majorHAnsi"/>
          <w:i/>
        </w:rPr>
      </w:pPr>
      <w:r w:rsidRPr="006615A7">
        <w:rPr>
          <w:rFonts w:cstheme="majorHAnsi"/>
        </w:rPr>
        <w:t>Biography</w:t>
      </w:r>
    </w:p>
    <w:p w14:paraId="44B39EB6" w14:textId="4C9D53D1" w:rsidR="00703C5D" w:rsidRPr="006615A7" w:rsidRDefault="000B6650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  <w:r w:rsidRPr="006615A7">
        <w:rPr>
          <w:rFonts w:asciiTheme="minorHAnsi" w:hAnsiTheme="minorHAnsi" w:cstheme="minorHAnsi"/>
          <w:bCs/>
          <w:i w:val="0"/>
          <w:szCs w:val="24"/>
        </w:rPr>
        <w:t xml:space="preserve">Wendy Proctor is currently the Designated Professional Adult Safeguarding for Sunderland NHS Clinical Commissioning Group and has 10 years'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safeguarding 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experience 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>across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 Yorkshire </w:t>
      </w:r>
      <w:r w:rsidRPr="006615A7">
        <w:rPr>
          <w:rFonts w:asciiTheme="minorHAnsi" w:hAnsiTheme="minorHAnsi" w:cstheme="minorHAnsi"/>
          <w:bCs/>
          <w:i w:val="0"/>
          <w:szCs w:val="24"/>
        </w:rPr>
        <w:t>at a senior level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,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working across both child and adult safeguarding. Wendy has worked extensively in mental 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>health services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including the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Challenge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P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roject at Guys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Hospital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,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a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ground-breaking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modular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approach to working with sex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>offenders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in the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 community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,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 and Forensic Services both inpatient and community settings with outreach to High Secure settings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 xml:space="preserve">. 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 Wendy's 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experience includes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 setting up Psychiatric Liaison services in Cornwall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 xml:space="preserve">, facilitating improvements in Substance </w:t>
      </w:r>
      <w:r w:rsidR="00CC4CC1" w:rsidRPr="006615A7">
        <w:rPr>
          <w:rFonts w:asciiTheme="minorHAnsi" w:hAnsiTheme="minorHAnsi" w:cstheme="minorHAnsi"/>
          <w:bCs/>
          <w:i w:val="0"/>
          <w:szCs w:val="24"/>
        </w:rPr>
        <w:t>A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 xml:space="preserve">buse </w:t>
      </w:r>
      <w:r w:rsidR="00CC4CC1" w:rsidRPr="006615A7">
        <w:rPr>
          <w:rFonts w:asciiTheme="minorHAnsi" w:hAnsiTheme="minorHAnsi" w:cstheme="minorHAnsi"/>
          <w:bCs/>
          <w:i w:val="0"/>
          <w:szCs w:val="24"/>
        </w:rPr>
        <w:t>services and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 xml:space="preserve"> managing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 </w:t>
      </w:r>
      <w:r w:rsidR="00CC4CC1" w:rsidRPr="006615A7">
        <w:rPr>
          <w:rFonts w:asciiTheme="minorHAnsi" w:hAnsiTheme="minorHAnsi" w:cstheme="minorHAnsi"/>
          <w:bCs/>
          <w:i w:val="0"/>
          <w:szCs w:val="24"/>
        </w:rPr>
        <w:t>C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ommunity and </w:t>
      </w:r>
      <w:r w:rsidR="00CC4CC1" w:rsidRPr="006615A7">
        <w:rPr>
          <w:rFonts w:asciiTheme="minorHAnsi" w:hAnsiTheme="minorHAnsi" w:cstheme="minorHAnsi"/>
          <w:bCs/>
          <w:i w:val="0"/>
          <w:szCs w:val="24"/>
        </w:rPr>
        <w:t>I</w:t>
      </w:r>
      <w:r w:rsidR="00703C5D" w:rsidRPr="006615A7">
        <w:rPr>
          <w:rFonts w:asciiTheme="minorHAnsi" w:hAnsiTheme="minorHAnsi" w:cstheme="minorHAnsi"/>
          <w:bCs/>
          <w:i w:val="0"/>
          <w:szCs w:val="24"/>
        </w:rPr>
        <w:t xml:space="preserve">npatient mental health services 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 xml:space="preserve">in 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 xml:space="preserve">West 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Cornwall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>.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 xml:space="preserve"> 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 xml:space="preserve"> </w:t>
      </w:r>
    </w:p>
    <w:p w14:paraId="4E637155" w14:textId="77777777" w:rsidR="006615A7" w:rsidRDefault="006615A7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</w:p>
    <w:p w14:paraId="3181429C" w14:textId="4D80E166" w:rsidR="00703C5D" w:rsidRPr="006615A7" w:rsidRDefault="00703C5D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  <w:r w:rsidRPr="006615A7">
        <w:rPr>
          <w:rFonts w:asciiTheme="minorHAnsi" w:hAnsiTheme="minorHAnsi" w:cstheme="minorHAnsi"/>
          <w:bCs/>
          <w:i w:val="0"/>
          <w:szCs w:val="24"/>
        </w:rPr>
        <w:t xml:space="preserve">Wendy has a </w:t>
      </w:r>
      <w:r w:rsidR="00CC4CC1" w:rsidRPr="006615A7">
        <w:rPr>
          <w:rFonts w:asciiTheme="minorHAnsi" w:hAnsiTheme="minorHAnsi" w:cstheme="minorHAnsi"/>
          <w:bCs/>
          <w:i w:val="0"/>
          <w:szCs w:val="24"/>
        </w:rPr>
        <w:t xml:space="preserve">considerable experience 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in the management of 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high-risk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complex cases within safeguarding and has been involved in high profile cases 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featuring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>self-neglect and the act</w:t>
      </w:r>
      <w:r w:rsidR="00F4415F">
        <w:rPr>
          <w:rFonts w:asciiTheme="minorHAnsi" w:hAnsiTheme="minorHAnsi" w:cstheme="minorHAnsi"/>
          <w:bCs/>
          <w:i w:val="0"/>
          <w:szCs w:val="24"/>
        </w:rPr>
        <w:t xml:space="preserve">ions after investigation. Wendy </w:t>
      </w:r>
      <w:bookmarkStart w:id="0" w:name="_GoBack"/>
      <w:bookmarkEnd w:id="0"/>
      <w:r w:rsidR="00D3363A" w:rsidRPr="006615A7">
        <w:rPr>
          <w:rFonts w:asciiTheme="minorHAnsi" w:hAnsiTheme="minorHAnsi" w:cstheme="minorHAnsi"/>
          <w:bCs/>
          <w:i w:val="0"/>
          <w:szCs w:val="24"/>
        </w:rPr>
        <w:t xml:space="preserve">facilitated a multi-agency Self Neglect conference in 2017 featuring input from police, environmental health, social care, housing, health and the fire service. This conference sparked a Humber wide review of hoarding and self-neglect by Humber Fire Service resulting in the production of Humber guidelines from Humber </w:t>
      </w:r>
      <w:r w:rsidR="001179B4" w:rsidRPr="006615A7">
        <w:rPr>
          <w:rFonts w:asciiTheme="minorHAnsi" w:hAnsiTheme="minorHAnsi" w:cstheme="minorHAnsi"/>
          <w:bCs/>
          <w:i w:val="0"/>
          <w:szCs w:val="24"/>
        </w:rPr>
        <w:t>Fi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 xml:space="preserve">re </w:t>
      </w:r>
      <w:r w:rsidR="001179B4" w:rsidRPr="006615A7">
        <w:rPr>
          <w:rFonts w:asciiTheme="minorHAnsi" w:hAnsiTheme="minorHAnsi" w:cstheme="minorHAnsi"/>
          <w:bCs/>
          <w:i w:val="0"/>
          <w:szCs w:val="24"/>
        </w:rPr>
        <w:t>S</w:t>
      </w:r>
      <w:r w:rsidR="00D3363A" w:rsidRPr="006615A7">
        <w:rPr>
          <w:rFonts w:asciiTheme="minorHAnsi" w:hAnsiTheme="minorHAnsi" w:cstheme="minorHAnsi"/>
          <w:bCs/>
          <w:i w:val="0"/>
          <w:szCs w:val="24"/>
        </w:rPr>
        <w:t xml:space="preserve">ervice for hoarding and self-neglect.   </w:t>
      </w:r>
    </w:p>
    <w:p w14:paraId="057D986A" w14:textId="77777777" w:rsidR="006615A7" w:rsidRDefault="006615A7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</w:p>
    <w:p w14:paraId="722FF901" w14:textId="57FFA584" w:rsidR="001179B4" w:rsidRPr="006615A7" w:rsidRDefault="00D3363A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  <w:r w:rsidRPr="006615A7">
        <w:rPr>
          <w:rFonts w:asciiTheme="minorHAnsi" w:hAnsiTheme="minorHAnsi" w:cstheme="minorHAnsi"/>
          <w:bCs/>
          <w:i w:val="0"/>
          <w:szCs w:val="24"/>
        </w:rPr>
        <w:t>Wendy has, more recently, been part of the development of a multi-agency framework for managing complex cases and self-neglect in East Riding</w:t>
      </w:r>
      <w:r w:rsidR="00AA3149" w:rsidRPr="006615A7">
        <w:rPr>
          <w:rFonts w:asciiTheme="minorHAnsi" w:hAnsiTheme="minorHAnsi" w:cstheme="minorHAnsi"/>
          <w:bCs/>
          <w:i w:val="0"/>
          <w:szCs w:val="24"/>
        </w:rPr>
        <w:t xml:space="preserve"> of Yorkshire and</w:t>
      </w:r>
      <w:r w:rsidRPr="006615A7">
        <w:rPr>
          <w:rFonts w:asciiTheme="minorHAnsi" w:hAnsiTheme="minorHAnsi" w:cstheme="minorHAnsi"/>
          <w:bCs/>
          <w:i w:val="0"/>
          <w:szCs w:val="24"/>
        </w:rPr>
        <w:t xml:space="preserve"> Sunderland. 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>Wendy is an RMN and has a degree in nursing from Chelmsford University</w:t>
      </w:r>
      <w:r w:rsidR="00AA3149" w:rsidRPr="006615A7">
        <w:rPr>
          <w:rFonts w:asciiTheme="minorHAnsi" w:hAnsiTheme="minorHAnsi" w:cstheme="minorHAnsi"/>
          <w:bCs/>
          <w:i w:val="0"/>
          <w:szCs w:val="24"/>
        </w:rPr>
        <w:t>, MSC modules in Leadership in S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 xml:space="preserve">afeguarding from Sheffield </w:t>
      </w:r>
      <w:r w:rsidR="00AA3149" w:rsidRPr="006615A7">
        <w:rPr>
          <w:rFonts w:asciiTheme="minorHAnsi" w:hAnsiTheme="minorHAnsi" w:cstheme="minorHAnsi"/>
          <w:bCs/>
          <w:i w:val="0"/>
          <w:szCs w:val="24"/>
        </w:rPr>
        <w:t>Hallam.</w:t>
      </w:r>
    </w:p>
    <w:p w14:paraId="1CF6FDDD" w14:textId="77777777" w:rsidR="00AA3149" w:rsidRPr="006615A7" w:rsidRDefault="00AA3149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</w:p>
    <w:p w14:paraId="1BC09D07" w14:textId="59E7EC1A" w:rsidR="001179B4" w:rsidRPr="006615A7" w:rsidRDefault="006615A7" w:rsidP="006615A7">
      <w:pPr>
        <w:pStyle w:val="Title"/>
      </w:pPr>
      <w:r>
        <w:t>Abstract</w:t>
      </w:r>
    </w:p>
    <w:p w14:paraId="6C24DF93" w14:textId="113BC87F" w:rsidR="00040EA0" w:rsidRPr="006615A7" w:rsidRDefault="00040EA0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  <w:r w:rsidRPr="006615A7">
        <w:rPr>
          <w:rFonts w:asciiTheme="minorHAnsi" w:hAnsiTheme="minorHAnsi" w:cstheme="minorHAnsi"/>
          <w:bCs/>
          <w:i w:val="0"/>
          <w:szCs w:val="24"/>
        </w:rPr>
        <w:t>This presentation looks at covid 19 and self-neglect, the rise in cases of complex risk and concern, how to manage those risks and coordinate a robust response involving all agencies. Working on breaking down barriers using our experiences from a variety of fields.</w:t>
      </w:r>
    </w:p>
    <w:p w14:paraId="28F436B8" w14:textId="73CD7F32" w:rsidR="00040EA0" w:rsidRPr="006615A7" w:rsidRDefault="00040EA0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  <w:r w:rsidRPr="006615A7">
        <w:rPr>
          <w:rFonts w:asciiTheme="minorHAnsi" w:hAnsiTheme="minorHAnsi" w:cstheme="minorHAnsi"/>
          <w:bCs/>
          <w:i w:val="0"/>
          <w:szCs w:val="24"/>
        </w:rPr>
        <w:t xml:space="preserve">It should help to identify what is self-neglect, how to identify and manage self-neglect, risk management and what legislation we can use to support our work in this area. </w:t>
      </w:r>
    </w:p>
    <w:p w14:paraId="2D95A7E3" w14:textId="615679B8" w:rsidR="00040EA0" w:rsidRPr="006615A7" w:rsidRDefault="00040EA0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</w:p>
    <w:p w14:paraId="4D8861E8" w14:textId="62F4A010" w:rsidR="00040EA0" w:rsidRPr="006615A7" w:rsidRDefault="00040EA0" w:rsidP="006615A7">
      <w:pPr>
        <w:pStyle w:val="BodyText2"/>
        <w:jc w:val="both"/>
        <w:rPr>
          <w:rFonts w:asciiTheme="minorHAnsi" w:hAnsiTheme="minorHAnsi" w:cstheme="minorHAnsi"/>
          <w:bCs/>
          <w:i w:val="0"/>
          <w:szCs w:val="24"/>
        </w:rPr>
      </w:pPr>
      <w:r w:rsidRPr="006615A7">
        <w:rPr>
          <w:rFonts w:asciiTheme="minorHAnsi" w:hAnsiTheme="minorHAnsi" w:cstheme="minorHAnsi"/>
          <w:bCs/>
          <w:i w:val="0"/>
          <w:szCs w:val="24"/>
        </w:rPr>
        <w:t xml:space="preserve">Some of the legislation that we </w:t>
      </w:r>
      <w:r w:rsidR="00992853" w:rsidRPr="006615A7">
        <w:rPr>
          <w:rFonts w:asciiTheme="minorHAnsi" w:hAnsiTheme="minorHAnsi" w:cstheme="minorHAnsi"/>
          <w:bCs/>
          <w:i w:val="0"/>
          <w:szCs w:val="24"/>
        </w:rPr>
        <w:t>reference:</w:t>
      </w:r>
    </w:p>
    <w:p w14:paraId="2F394B17" w14:textId="44028EDE" w:rsidR="00040EA0" w:rsidRPr="006615A7" w:rsidRDefault="00040EA0" w:rsidP="006615A7">
      <w:pPr>
        <w:pStyle w:val="BodyText2"/>
        <w:jc w:val="both"/>
        <w:rPr>
          <w:rFonts w:asciiTheme="minorHAnsi" w:hAnsiTheme="minorHAnsi" w:cstheme="minorHAnsi"/>
          <w:b/>
          <w:i w:val="0"/>
          <w:szCs w:val="24"/>
        </w:rPr>
      </w:pPr>
    </w:p>
    <w:p w14:paraId="7545BB9D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Mental Capacity Act 2005 / Court Of Protection</w:t>
      </w:r>
    </w:p>
    <w:p w14:paraId="0F3B6190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Public Health Act 1936 – Sec 83/84 - Cleaning of filthy premises</w:t>
      </w:r>
    </w:p>
    <w:p w14:paraId="741A7799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Public Health Act 1961 – Sec 36 – power to vacate premises for fumigation.</w:t>
      </w:r>
    </w:p>
    <w:p w14:paraId="366B21D1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The Public Health (Control of Disease) Act 1984</w:t>
      </w:r>
    </w:p>
    <w:p w14:paraId="46FD24DE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The Environmental Protection Act 1990 Sec 79/80</w:t>
      </w:r>
    </w:p>
    <w:p w14:paraId="787C3F99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The Damage by Pests Act 1948 - Rats and Mice/ Infestation of food</w:t>
      </w:r>
    </w:p>
    <w:p w14:paraId="51A0C073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Mental Health Act 1983</w:t>
      </w:r>
    </w:p>
    <w:p w14:paraId="1F03DCF6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 xml:space="preserve">Housing Act 2004 - </w:t>
      </w:r>
    </w:p>
    <w:p w14:paraId="72409365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Inherent Jurisdiction – High Court</w:t>
      </w:r>
    </w:p>
    <w:p w14:paraId="32637537" w14:textId="303AAB12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Police and Criminal Evidence Act (PACE) powers</w:t>
      </w:r>
    </w:p>
    <w:p w14:paraId="55C1B079" w14:textId="569C05B7" w:rsidR="00992853" w:rsidRPr="006615A7" w:rsidRDefault="00992853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</w:rPr>
      </w:pPr>
      <w:r w:rsidRPr="006615A7">
        <w:rPr>
          <w:rFonts w:asciiTheme="minorHAnsi" w:eastAsiaTheme="minorEastAsia" w:hAnsiTheme="minorHAnsi" w:cstheme="minorHAnsi"/>
          <w:color w:val="000000"/>
          <w:kern w:val="24"/>
        </w:rPr>
        <w:t>The Care Act 2014</w:t>
      </w:r>
    </w:p>
    <w:p w14:paraId="3A941EBD" w14:textId="77777777" w:rsidR="00992853" w:rsidRPr="006615A7" w:rsidRDefault="00992853" w:rsidP="006615A7">
      <w:pPr>
        <w:jc w:val="both"/>
        <w:textAlignment w:val="baseline"/>
        <w:rPr>
          <w:rFonts w:cstheme="minorHAnsi"/>
        </w:rPr>
      </w:pPr>
    </w:p>
    <w:p w14:paraId="78DE9098" w14:textId="5AD91F8B" w:rsidR="00992853" w:rsidRPr="006615A7" w:rsidRDefault="00992853" w:rsidP="006615A7">
      <w:pPr>
        <w:jc w:val="both"/>
        <w:textAlignment w:val="baseline"/>
        <w:rPr>
          <w:rFonts w:cstheme="minorHAnsi"/>
        </w:rPr>
      </w:pPr>
      <w:r w:rsidRPr="006615A7">
        <w:rPr>
          <w:rFonts w:cstheme="minorHAnsi"/>
        </w:rPr>
        <w:lastRenderedPageBreak/>
        <w:t>Other references include:</w:t>
      </w:r>
    </w:p>
    <w:p w14:paraId="0771AA72" w14:textId="77777777" w:rsidR="00992853" w:rsidRPr="006615A7" w:rsidRDefault="00992853" w:rsidP="006615A7">
      <w:pPr>
        <w:jc w:val="both"/>
        <w:textAlignment w:val="baseline"/>
        <w:rPr>
          <w:rFonts w:cstheme="minorHAnsi"/>
        </w:rPr>
      </w:pPr>
    </w:p>
    <w:p w14:paraId="45591C2C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Making Safeguarding Personal</w:t>
      </w:r>
    </w:p>
    <w:p w14:paraId="069A9117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Self-Neglect and Practice: building an evidence base for practice SCIE 2014</w:t>
      </w:r>
    </w:p>
    <w:p w14:paraId="72BCCF4F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East Riding Vulnerable Adults and Risk management Protocol and Self-Neglect Best Practice Guidance</w:t>
      </w:r>
    </w:p>
    <w:p w14:paraId="5069ED21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Suffolk Safeguarding Adults Board – Self Neglect and Hoarding</w:t>
      </w:r>
    </w:p>
    <w:p w14:paraId="0ABAE654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Barnsley Multi-Agency Self-Neglect and Hoarding Policy and Procedure</w:t>
      </w:r>
    </w:p>
    <w:p w14:paraId="3F22E81A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Gloucestershire Safeguarding Adults Board – Adult Self-Neglect Best Practice Guidance</w:t>
      </w:r>
    </w:p>
    <w:p w14:paraId="392F0124" w14:textId="77777777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kern w:val="2"/>
        </w:rPr>
      </w:pPr>
      <w:r w:rsidRPr="006615A7">
        <w:rPr>
          <w:rFonts w:asciiTheme="minorHAnsi" w:hAnsiTheme="minorHAnsi" w:cstheme="minorHAnsi"/>
          <w:kern w:val="2"/>
        </w:rPr>
        <w:t>Primary Care Assessment of Older People with Self-Care Challenges. Journal of Care Practitioners 323-328</w:t>
      </w:r>
    </w:p>
    <w:p w14:paraId="312FA880" w14:textId="1A7238A8" w:rsidR="00040EA0" w:rsidRPr="006615A7" w:rsidRDefault="00040EA0" w:rsidP="006615A7">
      <w:pPr>
        <w:pStyle w:val="ListParagraph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b/>
        </w:rPr>
      </w:pPr>
      <w:r w:rsidRPr="006615A7">
        <w:rPr>
          <w:rFonts w:asciiTheme="minorHAnsi" w:hAnsiTheme="minorHAnsi" w:cstheme="minorHAnsi"/>
          <w:kern w:val="2"/>
        </w:rPr>
        <w:t>Research in Practice for Adults, Practice Tool – Working with people who self-neglect.</w:t>
      </w:r>
    </w:p>
    <w:p w14:paraId="10E5A291" w14:textId="77777777" w:rsidR="00040EA0" w:rsidRPr="006615A7" w:rsidRDefault="00040EA0" w:rsidP="006615A7">
      <w:pPr>
        <w:pStyle w:val="BodyText2"/>
        <w:jc w:val="both"/>
        <w:rPr>
          <w:rFonts w:asciiTheme="minorHAnsi" w:hAnsiTheme="minorHAnsi" w:cstheme="minorHAnsi"/>
          <w:b/>
          <w:i w:val="0"/>
          <w:szCs w:val="24"/>
        </w:rPr>
      </w:pPr>
    </w:p>
    <w:p w14:paraId="39375785" w14:textId="7BC9727F" w:rsidR="001179B4" w:rsidRPr="006615A7" w:rsidRDefault="00F4415F" w:rsidP="006615A7">
      <w:pPr>
        <w:pStyle w:val="BodyText2"/>
        <w:jc w:val="both"/>
        <w:rPr>
          <w:rFonts w:asciiTheme="minorHAnsi" w:hAnsiTheme="minorHAnsi" w:cstheme="minorHAnsi"/>
          <w:b/>
          <w:i w:val="0"/>
          <w:szCs w:val="24"/>
        </w:rPr>
      </w:pPr>
      <w:hyperlink r:id="rId5" w:history="1">
        <w:r w:rsidR="00040EA0" w:rsidRPr="006615A7">
          <w:rPr>
            <w:rStyle w:val="Hyperlink"/>
            <w:rFonts w:asciiTheme="minorHAnsi" w:hAnsiTheme="minorHAnsi" w:cstheme="minorHAnsi"/>
            <w:color w:val="auto"/>
          </w:rPr>
          <w:t>https://humbersidefire.gov.uk/your-safety/safety-in-the-home/hoarding</w:t>
        </w:r>
      </w:hyperlink>
    </w:p>
    <w:p w14:paraId="2BCA2027" w14:textId="0874CCD9" w:rsidR="000B6650" w:rsidRPr="006615A7" w:rsidRDefault="000B6650" w:rsidP="006615A7">
      <w:pPr>
        <w:pStyle w:val="trt0xe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</w:rPr>
      </w:pPr>
      <w:r w:rsidRPr="006615A7">
        <w:rPr>
          <w:rFonts w:asciiTheme="minorHAnsi" w:hAnsiTheme="minorHAnsi" w:cstheme="minorHAnsi"/>
        </w:rPr>
        <w:t>.</w:t>
      </w:r>
      <w:r w:rsidR="00040EA0" w:rsidRPr="006615A7">
        <w:rPr>
          <w:rFonts w:asciiTheme="minorHAnsi" w:hAnsiTheme="minorHAnsi" w:cstheme="minorHAnsi"/>
        </w:rPr>
        <w:t xml:space="preserve"> </w:t>
      </w:r>
      <w:hyperlink r:id="rId6" w:history="1">
        <w:r w:rsidR="00040EA0" w:rsidRPr="006615A7">
          <w:rPr>
            <w:rStyle w:val="Hyperlink"/>
            <w:rFonts w:asciiTheme="minorHAnsi" w:hAnsiTheme="minorHAnsi" w:cstheme="minorHAnsi"/>
            <w:color w:val="auto"/>
          </w:rPr>
          <w:t>www.helpforhoarders.co.uk</w:t>
        </w:r>
      </w:hyperlink>
    </w:p>
    <w:p w14:paraId="5AD16870" w14:textId="77777777" w:rsidR="00C65283" w:rsidRPr="006615A7" w:rsidRDefault="00C65283" w:rsidP="006615A7">
      <w:pPr>
        <w:jc w:val="both"/>
        <w:rPr>
          <w:rFonts w:cstheme="minorHAnsi"/>
          <w:sz w:val="24"/>
          <w:szCs w:val="24"/>
        </w:rPr>
      </w:pPr>
    </w:p>
    <w:sectPr w:rsidR="00C65283" w:rsidRPr="0066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3019"/>
    <w:multiLevelType w:val="hybridMultilevel"/>
    <w:tmpl w:val="EA7E8B72"/>
    <w:lvl w:ilvl="0" w:tplc="20A4AD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649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787E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7CA9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02C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F02E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6AEB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989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D431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4FE276D"/>
    <w:multiLevelType w:val="multilevel"/>
    <w:tmpl w:val="71320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1A61A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6F7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C876C1"/>
    <w:multiLevelType w:val="multilevel"/>
    <w:tmpl w:val="5A82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50"/>
    <w:rsid w:val="00040EA0"/>
    <w:rsid w:val="000B6650"/>
    <w:rsid w:val="001179B4"/>
    <w:rsid w:val="006615A7"/>
    <w:rsid w:val="00703C5D"/>
    <w:rsid w:val="00992853"/>
    <w:rsid w:val="00A15167"/>
    <w:rsid w:val="00AA3149"/>
    <w:rsid w:val="00C65283"/>
    <w:rsid w:val="00CC4CC1"/>
    <w:rsid w:val="00D3363A"/>
    <w:rsid w:val="00F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53A1"/>
  <w15:chartTrackingRefBased/>
  <w15:docId w15:val="{1D857927-F772-48BE-A6D0-5EBFB70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0B665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B6650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trt0xe">
    <w:name w:val="trt0xe"/>
    <w:basedOn w:val="Normal"/>
    <w:rsid w:val="000B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B6650"/>
    <w:rPr>
      <w:i/>
      <w:iCs/>
    </w:rPr>
  </w:style>
  <w:style w:type="paragraph" w:customStyle="1" w:styleId="xmsonormal">
    <w:name w:val="x_msonormal"/>
    <w:basedOn w:val="Normal"/>
    <w:rsid w:val="000B66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0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0EA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1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forhoarders.co.uk" TargetMode="External"/><Relationship Id="rId5" Type="http://schemas.openxmlformats.org/officeDocument/2006/relationships/hyperlink" Target="https://humbersidefire.gov.uk/your-safety/safety-in-the-home/hoar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PROCTOR, Wendy (NHS SUNDERLAND CCG)</dc:creator>
  <cp:keywords/>
  <dc:description/>
  <cp:lastModifiedBy>Stephanie Benton</cp:lastModifiedBy>
  <cp:revision>3</cp:revision>
  <dcterms:created xsi:type="dcterms:W3CDTF">2021-04-16T13:08:00Z</dcterms:created>
  <dcterms:modified xsi:type="dcterms:W3CDTF">2021-04-16T13:08:00Z</dcterms:modified>
</cp:coreProperties>
</file>