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948B" w14:textId="5BE3AB4D" w:rsidR="00C51C6B" w:rsidRDefault="00C51C6B" w:rsidP="00C51C6B">
      <w:pPr>
        <w:shd w:val="clear" w:color="auto" w:fill="FFFFFF"/>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Biography</w:t>
      </w:r>
    </w:p>
    <w:p w14:paraId="17C2E89D" w14:textId="5455EFF6" w:rsidR="00C51C6B" w:rsidRPr="00C51C6B" w:rsidRDefault="00C51C6B" w:rsidP="00C51C6B">
      <w:pPr>
        <w:shd w:val="clear" w:color="auto" w:fill="FFFFFF"/>
        <w:rPr>
          <w:rFonts w:asciiTheme="minorHAnsi" w:eastAsia="Times New Roman" w:hAnsiTheme="minorHAnsi" w:cstheme="minorHAnsi"/>
          <w:color w:val="000000"/>
          <w:sz w:val="24"/>
          <w:szCs w:val="24"/>
        </w:rPr>
      </w:pPr>
      <w:r w:rsidRPr="00C51C6B">
        <w:rPr>
          <w:rFonts w:asciiTheme="minorHAnsi" w:eastAsia="Times New Roman" w:hAnsiTheme="minorHAnsi" w:cstheme="minorHAnsi"/>
          <w:b/>
          <w:bCs/>
          <w:color w:val="000000"/>
          <w:sz w:val="24"/>
          <w:szCs w:val="24"/>
        </w:rPr>
        <w:t xml:space="preserve">Claire Osborne </w:t>
      </w:r>
      <w:proofErr w:type="spellStart"/>
      <w:r w:rsidRPr="00C51C6B">
        <w:rPr>
          <w:rFonts w:asciiTheme="minorHAnsi" w:eastAsia="Times New Roman" w:hAnsiTheme="minorHAnsi" w:cstheme="minorHAnsi"/>
          <w:b/>
          <w:bCs/>
          <w:color w:val="000000"/>
          <w:sz w:val="24"/>
          <w:szCs w:val="24"/>
        </w:rPr>
        <w:t>RNc</w:t>
      </w:r>
      <w:proofErr w:type="spellEnd"/>
      <w:r w:rsidRPr="00C51C6B">
        <w:rPr>
          <w:rFonts w:asciiTheme="minorHAnsi" w:eastAsia="Times New Roman" w:hAnsiTheme="minorHAnsi" w:cstheme="minorHAnsi"/>
          <w:b/>
          <w:bCs/>
          <w:color w:val="000000"/>
          <w:sz w:val="24"/>
          <w:szCs w:val="24"/>
        </w:rPr>
        <w:t>, MSc, BSc (Hons), NMP V300, RCN ALNP</w:t>
      </w:r>
    </w:p>
    <w:p w14:paraId="2B629F49" w14:textId="77777777" w:rsidR="00C51C6B" w:rsidRPr="00C51C6B" w:rsidRDefault="00C51C6B" w:rsidP="00C51C6B">
      <w:pPr>
        <w:shd w:val="clear" w:color="auto" w:fill="FFFFFF"/>
        <w:rPr>
          <w:rFonts w:asciiTheme="minorHAnsi" w:eastAsia="Times New Roman" w:hAnsiTheme="minorHAnsi" w:cstheme="minorHAnsi"/>
          <w:color w:val="000000"/>
          <w:sz w:val="24"/>
          <w:szCs w:val="24"/>
        </w:rPr>
      </w:pPr>
    </w:p>
    <w:p w14:paraId="01857B9B" w14:textId="77777777" w:rsidR="00C51C6B" w:rsidRPr="00C51C6B" w:rsidRDefault="00C51C6B" w:rsidP="00C51C6B">
      <w:pPr>
        <w:shd w:val="clear" w:color="auto" w:fill="FFFFFF"/>
        <w:rPr>
          <w:rFonts w:asciiTheme="minorHAnsi" w:eastAsia="Times New Roman" w:hAnsiTheme="minorHAnsi" w:cstheme="minorHAnsi"/>
          <w:color w:val="000000"/>
          <w:sz w:val="24"/>
          <w:szCs w:val="24"/>
        </w:rPr>
      </w:pPr>
      <w:r w:rsidRPr="00C51C6B">
        <w:rPr>
          <w:rFonts w:asciiTheme="minorHAnsi" w:eastAsia="Times New Roman" w:hAnsiTheme="minorHAnsi" w:cstheme="minorHAnsi"/>
          <w:color w:val="000000"/>
          <w:sz w:val="24"/>
          <w:szCs w:val="24"/>
        </w:rPr>
        <w:t>A registered children's nurse and independent prescriber with a background in emergency and acute care of infants, children and young people.  Claire is practicing as a Paediatric Advanced Practitioner, and Trust Lead for Advancing Practice and Non-Medical Prescribing at Oxford University Hospitals NHS Foundation Trust.  Claire is also a lecturer at Oxford Brookes University within the faculty of Health and Life Sciences, supporting their Advanced Practice pathway, including the independent and supplementary prescribing module.  Claire is also a core writing group member for the pending Health Education England (HEE) and Royal College of Paediatrics and Child Health (RCPCH) Paediatric and Child Health Curricular Framework for Advanced Practice, supporting HEE's work towards a national paediatric and child health advanced practice credential.</w:t>
      </w:r>
    </w:p>
    <w:p w14:paraId="78E392BE" w14:textId="77777777" w:rsidR="00C51C6B" w:rsidRPr="00C51C6B" w:rsidRDefault="00C51C6B" w:rsidP="00C51C6B">
      <w:pPr>
        <w:shd w:val="clear" w:color="auto" w:fill="FFFFFF"/>
        <w:rPr>
          <w:rFonts w:asciiTheme="minorHAnsi" w:eastAsia="Times New Roman" w:hAnsiTheme="minorHAnsi" w:cstheme="minorHAnsi"/>
          <w:color w:val="000000"/>
          <w:sz w:val="24"/>
          <w:szCs w:val="24"/>
        </w:rPr>
      </w:pPr>
    </w:p>
    <w:p w14:paraId="3D460342" w14:textId="56C1653E" w:rsidR="00C51C6B" w:rsidRPr="00C51C6B" w:rsidRDefault="00C51C6B" w:rsidP="00C51C6B">
      <w:pPr>
        <w:shd w:val="clear" w:color="auto" w:fill="FFFFFF"/>
        <w:rPr>
          <w:rFonts w:asciiTheme="minorHAnsi" w:eastAsia="Times New Roman" w:hAnsiTheme="minorHAnsi" w:cstheme="minorHAnsi"/>
          <w:b/>
          <w:bCs/>
          <w:color w:val="000000"/>
          <w:sz w:val="24"/>
          <w:szCs w:val="24"/>
        </w:rPr>
      </w:pPr>
      <w:r w:rsidRPr="00C51C6B">
        <w:rPr>
          <w:rFonts w:asciiTheme="minorHAnsi" w:eastAsia="Times New Roman" w:hAnsiTheme="minorHAnsi" w:cstheme="minorHAnsi"/>
          <w:b/>
          <w:bCs/>
          <w:color w:val="000000"/>
          <w:sz w:val="24"/>
          <w:szCs w:val="24"/>
        </w:rPr>
        <w:t xml:space="preserve">Abstract </w:t>
      </w:r>
    </w:p>
    <w:p w14:paraId="7966A9E1" w14:textId="427FD61E" w:rsidR="00C51C6B" w:rsidRPr="00C51C6B" w:rsidRDefault="00C51C6B" w:rsidP="00C51C6B">
      <w:pPr>
        <w:shd w:val="clear" w:color="auto" w:fill="FFFFFF"/>
        <w:rPr>
          <w:rFonts w:asciiTheme="minorHAnsi" w:eastAsia="Times New Roman" w:hAnsiTheme="minorHAnsi" w:cstheme="minorHAnsi"/>
          <w:color w:val="000000"/>
          <w:sz w:val="24"/>
          <w:szCs w:val="24"/>
        </w:rPr>
      </w:pPr>
      <w:r w:rsidRPr="00C51C6B">
        <w:rPr>
          <w:rFonts w:asciiTheme="minorHAnsi" w:eastAsia="Times New Roman" w:hAnsiTheme="minorHAnsi" w:cstheme="minorHAnsi"/>
          <w:color w:val="000000"/>
          <w:sz w:val="24"/>
          <w:szCs w:val="24"/>
        </w:rPr>
        <w:t>This session will focus on an overview of prescribing in infants, children and young people, and key considerations for multi-professional prescribers in this field.  The session will explore contemporary themes for continuous professional development in relation to challenges and opportunities in Paediatric prescribing practice, and future trends and developments on the horizon. The session has been explicitly linked throughout to the Royal Pharmaceutical Society (RPS) Framework for Prescribers, to aid participants in reflecting on their own development and their maintenance of competencies in the field.</w:t>
      </w:r>
    </w:p>
    <w:p w14:paraId="6E3821F9" w14:textId="77777777" w:rsidR="00673B00" w:rsidRDefault="00673B00"/>
    <w:sectPr w:rsidR="00673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6485"/>
    <w:multiLevelType w:val="multilevel"/>
    <w:tmpl w:val="325EC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9199784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B"/>
    <w:rsid w:val="00673B00"/>
    <w:rsid w:val="00C5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1095"/>
  <w15:chartTrackingRefBased/>
  <w15:docId w15:val="{256ED282-0C3E-4D39-88F1-2A26B4F1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6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51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0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2023-02-20T16:51:00Z</dcterms:created>
  <dcterms:modified xsi:type="dcterms:W3CDTF">2023-02-20T16:52:00Z</dcterms:modified>
</cp:coreProperties>
</file>